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b/>
          <w:sz w:val="72"/>
          <w:szCs w:val="72"/>
        </w:rPr>
      </w:pPr>
      <w:bookmarkStart w:id="0" w:name="_Toc144974478"/>
      <w:bookmarkStart w:id="1" w:name="_Toc152042286"/>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招  标  文  件</w:t>
      </w: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80"/>
        <w:spacing w:after="120"/>
        <w:ind w:firstLine="643"/>
        <w:rPr>
          <w:rFonts w:ascii="宋体" w:hAnsi="宋体"/>
          <w:b/>
          <w:sz w:val="32"/>
          <w:szCs w:val="32"/>
        </w:rPr>
      </w:pPr>
    </w:p>
    <w:p>
      <w:pPr>
        <w:pStyle w:val="80"/>
        <w:spacing w:after="120"/>
        <w:ind w:firstLine="643"/>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13"/>
        <w:spacing w:line="360" w:lineRule="auto"/>
        <w:ind w:left="1495" w:leftChars="100" w:hanging="1285" w:hangingChars="400"/>
        <w:rPr>
          <w:rFonts w:ascii="宋体" w:hAnsi="宋体"/>
          <w:b/>
          <w:sz w:val="32"/>
        </w:rPr>
      </w:pPr>
      <w:r>
        <w:rPr>
          <w:rFonts w:hint="eastAsia" w:ascii="宋体" w:hAnsi="宋体"/>
          <w:b/>
          <w:sz w:val="32"/>
        </w:rPr>
        <w:t>招标编号：WKZB-2025-0</w:t>
      </w:r>
      <w:r>
        <w:rPr>
          <w:rFonts w:ascii="宋体" w:hAnsi="宋体"/>
          <w:b/>
          <w:sz w:val="32"/>
        </w:rPr>
        <w:t>14</w:t>
      </w:r>
    </w:p>
    <w:p>
      <w:pPr>
        <w:pStyle w:val="13"/>
        <w:spacing w:line="360" w:lineRule="auto"/>
        <w:ind w:left="1881" w:leftChars="100" w:hanging="1671" w:hangingChars="520"/>
        <w:rPr>
          <w:rFonts w:ascii="宋体" w:hAnsi="宋体"/>
          <w:b/>
          <w:sz w:val="32"/>
        </w:rPr>
      </w:pPr>
      <w:r>
        <w:rPr>
          <w:rFonts w:hint="eastAsia" w:ascii="宋体" w:hAnsi="宋体"/>
          <w:b/>
          <w:sz w:val="32"/>
        </w:rPr>
        <w:t>项目名称：基础网络周界安全设备（包含软件和硬件）项目</w:t>
      </w:r>
    </w:p>
    <w:p>
      <w:pPr>
        <w:pStyle w:val="13"/>
        <w:spacing w:line="360" w:lineRule="auto"/>
        <w:ind w:left="1495" w:leftChars="100" w:hanging="1285" w:hangingChars="400"/>
        <w:rPr>
          <w:rFonts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rPr>
          <w:rFonts w:ascii="宋体" w:hAnsi="宋体"/>
          <w:b/>
          <w:sz w:val="32"/>
        </w:rPr>
      </w:pPr>
    </w:p>
    <w:p>
      <w:pPr>
        <w:pStyle w:val="13"/>
        <w:tabs>
          <w:tab w:val="left" w:pos="5040"/>
        </w:tabs>
        <w:spacing w:line="360" w:lineRule="auto"/>
        <w:ind w:firstLine="0" w:firstLineChars="0"/>
        <w:jc w:val="center"/>
        <w:rPr>
          <w:rFonts w:hAnsi="宋体"/>
          <w:b/>
          <w:sz w:val="32"/>
          <w:szCs w:val="32"/>
        </w:rPr>
      </w:pPr>
      <w:r>
        <w:rPr>
          <w:rFonts w:hint="eastAsia" w:hAnsi="宋体"/>
          <w:b/>
          <w:sz w:val="32"/>
          <w:szCs w:val="32"/>
        </w:rPr>
        <w:t>二○二五年六</w:t>
      </w:r>
      <w:r>
        <w:rPr>
          <w:rFonts w:hAnsi="宋体"/>
          <w:b/>
          <w:sz w:val="32"/>
          <w:szCs w:val="32"/>
        </w:rPr>
        <w:t>月</w:t>
      </w:r>
      <w:bookmarkEnd w:id="0"/>
      <w:bookmarkEnd w:id="1"/>
    </w:p>
    <w:p>
      <w:pPr>
        <w:pStyle w:val="13"/>
        <w:pageBreakBefore/>
        <w:tabs>
          <w:tab w:val="left" w:pos="5040"/>
        </w:tabs>
        <w:spacing w:before="240" w:beforeLines="100" w:after="240" w:afterLines="100"/>
        <w:ind w:firstLine="0" w:firstLineChars="0"/>
        <w:jc w:val="center"/>
        <w:outlineLvl w:val="0"/>
        <w:rPr>
          <w:rFonts w:ascii="宋体" w:hAnsi="宋体"/>
          <w:b/>
          <w:bCs/>
          <w:sz w:val="24"/>
        </w:rPr>
        <w:sectPr>
          <w:headerReference r:id="rId4" w:type="first"/>
          <w:footerReference r:id="rId6" w:type="first"/>
          <w:headerReference r:id="rId3" w:type="default"/>
          <w:footerReference r:id="rId5" w:type="even"/>
          <w:pgSz w:w="11906" w:h="16838"/>
          <w:pgMar w:top="1440" w:right="1080" w:bottom="1440" w:left="1080" w:header="850" w:footer="907" w:gutter="284"/>
          <w:pgNumType w:start="0"/>
          <w:cols w:space="720" w:num="1"/>
          <w:docGrid w:linePitch="319" w:charSpace="0"/>
        </w:sectPr>
      </w:pPr>
      <w:bookmarkStart w:id="2" w:name="_Toc77685346"/>
    </w:p>
    <w:bookmarkEnd w:id="2"/>
    <w:p>
      <w:pPr>
        <w:pStyle w:val="13"/>
        <w:pageBreakBefore/>
        <w:tabs>
          <w:tab w:val="left" w:pos="5040"/>
        </w:tabs>
        <w:spacing w:before="240" w:beforeLines="100" w:after="240" w:afterLines="100"/>
        <w:ind w:firstLine="0" w:firstLineChars="0"/>
        <w:jc w:val="center"/>
        <w:outlineLvl w:val="0"/>
        <w:rPr>
          <w:rFonts w:ascii="宋体" w:hAnsi="宋体"/>
          <w:b/>
          <w:bCs/>
          <w:szCs w:val="21"/>
        </w:rPr>
      </w:pPr>
      <w:bookmarkStart w:id="3" w:name="_Toc10205"/>
      <w:bookmarkStart w:id="4" w:name="_Toc77628938"/>
      <w:bookmarkStart w:id="5" w:name="_Toc77629018"/>
      <w:bookmarkStart w:id="6" w:name="_Toc29240254"/>
      <w:bookmarkStart w:id="7" w:name="_Toc77628604"/>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fldChar w:fldCharType="begin"/>
      </w:r>
      <w:r>
        <w:instrText xml:space="preserve"> HYPERLINK \l "_Toc10205" </w:instrText>
      </w:r>
      <w:r>
        <w:fldChar w:fldCharType="separate"/>
      </w:r>
      <w:r>
        <w:rPr>
          <w:rFonts w:hint="eastAsia" w:ascii="宋体" w:hAnsi="宋体"/>
        </w:rPr>
        <w:t>目录</w:t>
      </w:r>
      <w:r>
        <w:tab/>
      </w:r>
      <w:r>
        <w:fldChar w:fldCharType="begin"/>
      </w:r>
      <w:r>
        <w:instrText xml:space="preserve"> PAGEREF _Toc10205 \h </w:instrText>
      </w:r>
      <w:r>
        <w:fldChar w:fldCharType="separate"/>
      </w:r>
      <w:r>
        <w:t>1</w:t>
      </w:r>
      <w:r>
        <w:fldChar w:fldCharType="end"/>
      </w:r>
      <w:r>
        <w:fldChar w:fldCharType="end"/>
      </w:r>
    </w:p>
    <w:p>
      <w:pPr>
        <w:pStyle w:val="27"/>
        <w:tabs>
          <w:tab w:val="right" w:leader="dot" w:pos="9462"/>
        </w:tabs>
      </w:pPr>
      <w:r>
        <w:fldChar w:fldCharType="begin"/>
      </w:r>
      <w:r>
        <w:instrText xml:space="preserve"> HYPERLINK \l "_Toc12485" </w:instrText>
      </w:r>
      <w:r>
        <w:fldChar w:fldCharType="separate"/>
      </w:r>
      <w:r>
        <w:rPr>
          <w:rFonts w:hint="eastAsia" w:ascii="宋体" w:hAnsi="宋体"/>
        </w:rPr>
        <w:t>第一章 招标公告</w:t>
      </w:r>
      <w:r>
        <w:tab/>
      </w:r>
      <w:r>
        <w:fldChar w:fldCharType="begin"/>
      </w:r>
      <w:r>
        <w:instrText xml:space="preserve"> PAGEREF _Toc12485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"_Toc24914" </w:instrText>
      </w:r>
      <w: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"_Toc24906" </w:instrText>
      </w:r>
      <w: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"_Toc4665" </w:instrText>
      </w:r>
      <w: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"_Toc31703" </w:instrText>
      </w:r>
      <w:r>
        <w:fldChar w:fldCharType="separate"/>
      </w:r>
      <w:r>
        <w:rPr>
          <w:rFonts w:hint="eastAsia" w:ascii="宋体" w:hAnsi="宋体" w:cs="宋体"/>
          <w:bCs/>
          <w:szCs w:val="21"/>
          <w:lang w:val="zh-CN" w:bidi="zh-CN"/>
        </w:rPr>
        <w:t>四、招标文件的获取</w:t>
      </w:r>
      <w:r>
        <w:tab/>
      </w:r>
      <w:r>
        <w:fldChar w:fldCharType="begin"/>
      </w:r>
      <w:r>
        <w:instrText xml:space="preserve"> PAGEREF _Toc31703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"_Toc23789" </w:instrText>
      </w:r>
      <w:r>
        <w:fldChar w:fldCharType="separate"/>
      </w:r>
      <w:r>
        <w:rPr>
          <w:rFonts w:hint="eastAsia" w:ascii="宋体" w:hAnsi="宋体" w:cs="宋体"/>
          <w:bCs/>
          <w:szCs w:val="21"/>
          <w:lang w:val="zh-CN" w:bidi="zh-CN"/>
        </w:rPr>
        <w:t>六、开标时间及地点</w:t>
      </w:r>
      <w:r>
        <w:tab/>
      </w:r>
      <w:r>
        <w:fldChar w:fldCharType="begin"/>
      </w:r>
      <w:r>
        <w:instrText xml:space="preserve"> PAGEREF _Toc23789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"_Toc26190" </w:instrText>
      </w:r>
      <w:r>
        <w:fldChar w:fldCharType="separate"/>
      </w:r>
      <w:r>
        <w:rPr>
          <w:rFonts w:hint="eastAsia" w:ascii="宋体" w:hAnsi="宋体" w:cs="宋体"/>
          <w:bCs/>
          <w:szCs w:val="21"/>
          <w:lang w:val="zh-CN" w:bidi="zh-CN"/>
        </w:rPr>
        <w:t>七、其他</w:t>
      </w:r>
      <w:r>
        <w:tab/>
      </w:r>
      <w:r>
        <w:fldChar w:fldCharType="begin"/>
      </w:r>
      <w:r>
        <w:instrText xml:space="preserve"> PAGEREF _Toc26190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"_Toc28912" </w:instrText>
      </w:r>
      <w:r>
        <w:fldChar w:fldCharType="separate"/>
      </w:r>
      <w:r>
        <w:rPr>
          <w:rFonts w:hint="eastAsia" w:ascii="宋体" w:hAnsi="宋体" w:cs="宋体"/>
          <w:bCs/>
          <w:szCs w:val="21"/>
          <w:lang w:val="zh-CN" w:bidi="zh-CN"/>
        </w:rPr>
        <w:t>八、监督部门</w:t>
      </w:r>
      <w:r>
        <w:tab/>
      </w:r>
      <w:r>
        <w:fldChar w:fldCharType="begin"/>
      </w:r>
      <w:r>
        <w:instrText xml:space="preserve"> PAGEREF _Toc28912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"_Toc5800" </w:instrText>
      </w:r>
      <w:r>
        <w:fldChar w:fldCharType="separate"/>
      </w:r>
      <w:r>
        <w:rPr>
          <w:rFonts w:hint="eastAsia" w:ascii="宋体" w:hAnsi="宋体" w:cs="宋体"/>
          <w:bCs/>
          <w:szCs w:val="21"/>
          <w:lang w:val="zh-CN" w:bidi="zh-CN"/>
        </w:rPr>
        <w:t>九、联系方式</w:t>
      </w:r>
      <w:r>
        <w:tab/>
      </w:r>
      <w:r>
        <w:fldChar w:fldCharType="begin"/>
      </w:r>
      <w:r>
        <w:instrText xml:space="preserve"> PAGEREF _Toc5800 \h </w:instrText>
      </w:r>
      <w:r>
        <w:fldChar w:fldCharType="separate"/>
      </w:r>
      <w:r>
        <w:t>4</w:t>
      </w:r>
      <w:r>
        <w:fldChar w:fldCharType="end"/>
      </w:r>
      <w:r>
        <w:fldChar w:fldCharType="end"/>
      </w:r>
    </w:p>
    <w:p>
      <w:pPr>
        <w:pStyle w:val="27"/>
        <w:tabs>
          <w:tab w:val="right" w:leader="dot" w:pos="9462"/>
        </w:tabs>
      </w:pPr>
      <w:r>
        <w:fldChar w:fldCharType="begin"/>
      </w:r>
      <w:r>
        <w:instrText xml:space="preserve"> HYPERLINK \l "_Toc26325" </w:instrText>
      </w:r>
      <w:r>
        <w:fldChar w:fldCharType="separate"/>
      </w:r>
      <w:r>
        <w:rPr>
          <w:rFonts w:hint="eastAsia" w:ascii="宋体" w:hAnsi="宋体"/>
        </w:rPr>
        <w:t>第二章 投标人须知</w:t>
      </w:r>
      <w:r>
        <w:tab/>
      </w:r>
      <w:r>
        <w:fldChar w:fldCharType="begin"/>
      </w:r>
      <w:r>
        <w:instrText xml:space="preserve"> PAGEREF _Toc26325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"_Toc15300" </w:instrText>
      </w:r>
      <w: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"_Toc4167" </w:instrText>
      </w:r>
      <w: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fldChar w:fldCharType="end"/>
      </w:r>
    </w:p>
    <w:p>
      <w:pPr>
        <w:pStyle w:val="32"/>
        <w:tabs>
          <w:tab w:val="right" w:leader="dot" w:pos="9462"/>
        </w:tabs>
      </w:pPr>
      <w:r>
        <w:fldChar w:fldCharType="begin"/>
      </w:r>
      <w:r>
        <w:instrText xml:space="preserve"> HYPERLINK \l "_Toc28093" </w:instrText>
      </w:r>
      <w: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"_Toc1422" </w:instrText>
      </w:r>
      <w: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"_Toc10734" </w:instrText>
      </w:r>
      <w: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fldChar w:fldCharType="end"/>
      </w:r>
    </w:p>
    <w:p>
      <w:pPr>
        <w:pStyle w:val="32"/>
        <w:tabs>
          <w:tab w:val="right" w:leader="dot" w:pos="9462"/>
        </w:tabs>
      </w:pPr>
      <w:r>
        <w:fldChar w:fldCharType="begin"/>
      </w:r>
      <w:r>
        <w:instrText xml:space="preserve"> HYPERLINK \l "_Toc17414" </w:instrText>
      </w:r>
      <w: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fldChar w:fldCharType="end"/>
      </w:r>
    </w:p>
    <w:p>
      <w:pPr>
        <w:pStyle w:val="32"/>
        <w:tabs>
          <w:tab w:val="right" w:leader="dot" w:pos="9462"/>
        </w:tabs>
      </w:pPr>
      <w:r>
        <w:fldChar w:fldCharType="begin"/>
      </w:r>
      <w:r>
        <w:instrText xml:space="preserve"> HYPERLINK \l "_Toc16391" </w:instrText>
      </w:r>
      <w: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fldChar w:fldCharType="end"/>
      </w:r>
    </w:p>
    <w:p>
      <w:pPr>
        <w:pStyle w:val="27"/>
        <w:tabs>
          <w:tab w:val="right" w:leader="dot" w:pos="9462"/>
        </w:tabs>
      </w:pPr>
      <w:r>
        <w:fldChar w:fldCharType="begin"/>
      </w:r>
      <w:r>
        <w:instrText xml:space="preserve"> HYPERLINK \l "_Toc3414" </w:instrText>
      </w:r>
      <w:r>
        <w:fldChar w:fldCharType="separate"/>
      </w:r>
      <w:r>
        <w:rPr>
          <w:rFonts w:hint="eastAsia" w:ascii="宋体" w:hAnsi="宋体"/>
        </w:rPr>
        <w:t>第三章 合同条款</w:t>
      </w:r>
      <w:r>
        <w:tab/>
      </w:r>
      <w:r>
        <w:fldChar w:fldCharType="begin"/>
      </w:r>
      <w:r>
        <w:instrText xml:space="preserve"> PAGEREF _Toc3414 \h </w:instrText>
      </w:r>
      <w:r>
        <w:fldChar w:fldCharType="separate"/>
      </w:r>
      <w:r>
        <w:t>16</w:t>
      </w:r>
      <w:r>
        <w:fldChar w:fldCharType="end"/>
      </w:r>
      <w:r>
        <w:fldChar w:fldCharType="end"/>
      </w:r>
    </w:p>
    <w:p>
      <w:pPr>
        <w:pStyle w:val="27"/>
        <w:tabs>
          <w:tab w:val="right" w:leader="dot" w:pos="9462"/>
        </w:tabs>
      </w:pPr>
      <w:r>
        <w:fldChar w:fldCharType="begin"/>
      </w:r>
      <w:r>
        <w:instrText xml:space="preserve"> HYPERLINK \l "_Toc16612" </w:instrText>
      </w:r>
      <w:r>
        <w:fldChar w:fldCharType="separate"/>
      </w:r>
      <w:r>
        <w:rPr>
          <w:rFonts w:hint="eastAsia" w:ascii="宋体" w:hAnsi="宋体"/>
        </w:rPr>
        <w:t>第四章 投标文件格式</w:t>
      </w:r>
      <w:r>
        <w:tab/>
      </w:r>
      <w:r>
        <w:fldChar w:fldCharType="begin"/>
      </w:r>
      <w:r>
        <w:instrText xml:space="preserve"> PAGEREF _Toc16612 \h </w:instrText>
      </w:r>
      <w:r>
        <w:fldChar w:fldCharType="separate"/>
      </w:r>
      <w:r>
        <w:t>19</w:t>
      </w:r>
      <w:r>
        <w:fldChar w:fldCharType="end"/>
      </w:r>
      <w:r>
        <w:fldChar w:fldCharType="end"/>
      </w:r>
    </w:p>
    <w:p>
      <w:pPr>
        <w:pStyle w:val="32"/>
        <w:tabs>
          <w:tab w:val="right" w:leader="dot" w:pos="9462"/>
        </w:tabs>
      </w:pPr>
      <w:r>
        <w:fldChar w:fldCharType="begin"/>
      </w:r>
      <w:r>
        <w:instrText xml:space="preserve"> HYPERLINK \l "_Toc30068" </w:instrText>
      </w:r>
      <w: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fldChar w:fldCharType="end"/>
      </w:r>
    </w:p>
    <w:p>
      <w:pPr>
        <w:pStyle w:val="32"/>
        <w:tabs>
          <w:tab w:val="right" w:leader="dot" w:pos="9462"/>
        </w:tabs>
      </w:pPr>
      <w:r>
        <w:fldChar w:fldCharType="begin"/>
      </w:r>
      <w:r>
        <w:instrText xml:space="preserve"> HYPERLINK \l "_Toc17672" </w:instrText>
      </w:r>
      <w: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fldChar w:fldCharType="end"/>
      </w:r>
    </w:p>
    <w:p>
      <w:pPr>
        <w:pStyle w:val="32"/>
        <w:tabs>
          <w:tab w:val="right" w:leader="dot" w:pos="9462"/>
        </w:tabs>
      </w:pPr>
      <w:r>
        <w:fldChar w:fldCharType="begin"/>
      </w:r>
      <w:r>
        <w:instrText xml:space="preserve"> HYPERLINK \l "_Toc15798" </w:instrText>
      </w:r>
      <w: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fldChar w:fldCharType="end"/>
      </w:r>
    </w:p>
    <w:p>
      <w:pPr>
        <w:pStyle w:val="32"/>
        <w:tabs>
          <w:tab w:val="right" w:leader="dot" w:pos="9462"/>
        </w:tabs>
      </w:pPr>
      <w:r>
        <w:fldChar w:fldCharType="begin"/>
      </w:r>
      <w:r>
        <w:instrText xml:space="preserve"> HYPERLINK \l "_Toc20445" </w:instrText>
      </w:r>
      <w: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fldChar w:fldCharType="end"/>
      </w:r>
    </w:p>
    <w:p>
      <w:pPr>
        <w:pStyle w:val="32"/>
        <w:tabs>
          <w:tab w:val="right" w:leader="dot" w:pos="9462"/>
        </w:tabs>
      </w:pPr>
      <w:r>
        <w:fldChar w:fldCharType="begin"/>
      </w:r>
      <w:r>
        <w:instrText xml:space="preserve"> HYPERLINK \l "_Toc19842" </w:instrText>
      </w:r>
      <w:r>
        <w:fldChar w:fldCharType="separate"/>
      </w:r>
      <w:r>
        <w:rPr>
          <w:rFonts w:hint="eastAsia" w:ascii="宋体" w:hAnsi="宋体" w:eastAsia="宋体"/>
          <w:szCs w:val="21"/>
          <w:highlight w:val="yellow"/>
        </w:rPr>
        <w:t>附件5 技术规格偏离表</w:t>
      </w:r>
      <w:r>
        <w:tab/>
      </w:r>
      <w:r>
        <w:fldChar w:fldCharType="begin"/>
      </w:r>
      <w:r>
        <w:instrText xml:space="preserve"> PAGEREF _Toc19842 \h </w:instrText>
      </w:r>
      <w:r>
        <w:fldChar w:fldCharType="separate"/>
      </w:r>
      <w:r>
        <w:t>26</w:t>
      </w:r>
      <w:r>
        <w:fldChar w:fldCharType="end"/>
      </w:r>
      <w:r>
        <w:fldChar w:fldCharType="end"/>
      </w:r>
    </w:p>
    <w:p>
      <w:pPr>
        <w:pStyle w:val="32"/>
        <w:tabs>
          <w:tab w:val="right" w:leader="dot" w:pos="9462"/>
        </w:tabs>
      </w:pPr>
      <w:r>
        <w:fldChar w:fldCharType="begin"/>
      </w:r>
      <w:r>
        <w:instrText xml:space="preserve"> HYPERLINK \l "_Toc32311" </w:instrText>
      </w:r>
      <w:r>
        <w:fldChar w:fldCharType="separate"/>
      </w:r>
      <w:r>
        <w:rPr>
          <w:rFonts w:hint="eastAsia" w:ascii="宋体" w:hAnsi="宋体" w:eastAsia="宋体"/>
          <w:szCs w:val="21"/>
        </w:rPr>
        <w:t>附件6 资格证明文件</w:t>
      </w:r>
      <w:r>
        <w:tab/>
      </w:r>
      <w:r>
        <w:fldChar w:fldCharType="begin"/>
      </w:r>
      <w:r>
        <w:instrText xml:space="preserve"> PAGEREF _Toc32311 \h </w:instrText>
      </w:r>
      <w:r>
        <w:fldChar w:fldCharType="separate"/>
      </w:r>
      <w:r>
        <w:t>28</w:t>
      </w:r>
      <w:r>
        <w:fldChar w:fldCharType="end"/>
      </w:r>
      <w:r>
        <w:fldChar w:fldCharType="end"/>
      </w:r>
    </w:p>
    <w:p>
      <w:pPr>
        <w:pStyle w:val="32"/>
        <w:tabs>
          <w:tab w:val="right" w:leader="dot" w:pos="9462"/>
        </w:tabs>
      </w:pPr>
      <w:r>
        <w:fldChar w:fldCharType="begin"/>
      </w:r>
      <w:r>
        <w:instrText xml:space="preserve"> HYPERLINK \l "_Toc23896" </w:instrText>
      </w:r>
      <w: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fldChar w:fldCharType="end"/>
      </w:r>
    </w:p>
    <w:p>
      <w:pPr>
        <w:pStyle w:val="32"/>
        <w:tabs>
          <w:tab w:val="right" w:leader="dot" w:pos="9462"/>
        </w:tabs>
      </w:pPr>
      <w:r>
        <w:fldChar w:fldCharType="begin"/>
      </w:r>
      <w:r>
        <w:instrText xml:space="preserve"> HYPERLINK \l "_Toc25002" </w:instrText>
      </w:r>
      <w:r>
        <w:fldChar w:fldCharType="separate"/>
      </w:r>
      <w:r>
        <w:rPr>
          <w:rFonts w:hint="eastAsia" w:ascii="宋体" w:hAnsi="宋体" w:eastAsia="宋体"/>
          <w:szCs w:val="21"/>
        </w:rPr>
        <w:t>附件7 反商业贿赂承诺书</w:t>
      </w:r>
      <w:r>
        <w:tab/>
      </w:r>
      <w:r>
        <w:fldChar w:fldCharType="begin"/>
      </w:r>
      <w:r>
        <w:instrText xml:space="preserve"> PAGEREF _Toc25002 \h </w:instrText>
      </w:r>
      <w:r>
        <w:fldChar w:fldCharType="separate"/>
      </w:r>
      <w:r>
        <w:t>37</w:t>
      </w:r>
      <w:r>
        <w:fldChar w:fldCharType="end"/>
      </w:r>
      <w:r>
        <w:fldChar w:fldCharType="end"/>
      </w:r>
    </w:p>
    <w:p>
      <w:pPr>
        <w:pStyle w:val="32"/>
        <w:tabs>
          <w:tab w:val="right" w:leader="dot" w:pos="9462"/>
        </w:tabs>
      </w:pPr>
      <w:r>
        <w:fldChar w:fldCharType="begin"/>
      </w:r>
      <w:r>
        <w:instrText xml:space="preserve"> HYPERLINK \l "_Toc20295" </w:instrText>
      </w:r>
      <w:r>
        <w:fldChar w:fldCharType="separate"/>
      </w:r>
      <w:r>
        <w:rPr>
          <w:rFonts w:hint="eastAsia" w:ascii="宋体" w:hAnsi="宋体" w:eastAsia="宋体"/>
          <w:szCs w:val="21"/>
        </w:rPr>
        <w:t>附件8 投标人控股及管理关系情况表</w:t>
      </w:r>
      <w:r>
        <w:tab/>
      </w:r>
      <w:r>
        <w:fldChar w:fldCharType="begin"/>
      </w:r>
      <w:r>
        <w:instrText xml:space="preserve"> PAGEREF _Toc20295 \h </w:instrText>
      </w:r>
      <w:r>
        <w:fldChar w:fldCharType="separate"/>
      </w:r>
      <w:r>
        <w:t>38</w:t>
      </w:r>
      <w:r>
        <w:fldChar w:fldCharType="end"/>
      </w:r>
      <w:r>
        <w:fldChar w:fldCharType="end"/>
      </w:r>
    </w:p>
    <w:p>
      <w:pPr>
        <w:pStyle w:val="32"/>
        <w:tabs>
          <w:tab w:val="right" w:leader="dot" w:pos="9462"/>
        </w:tabs>
      </w:pPr>
      <w:r>
        <w:fldChar w:fldCharType="begin"/>
      </w:r>
      <w:r>
        <w:instrText xml:space="preserve"> HYPERLINK \l "_Toc14246" </w:instrText>
      </w:r>
      <w:r>
        <w:fldChar w:fldCharType="separate"/>
      </w:r>
      <w:r>
        <w:rPr>
          <w:rFonts w:hint="eastAsia" w:ascii="宋体" w:hAnsi="宋体" w:eastAsia="宋体"/>
          <w:szCs w:val="21"/>
        </w:rPr>
        <w:t>附件9 详细的实施方案</w:t>
      </w:r>
      <w:r>
        <w:tab/>
      </w:r>
      <w:r>
        <w:fldChar w:fldCharType="begin"/>
      </w:r>
      <w:r>
        <w:instrText xml:space="preserve"> PAGEREF _Toc14246 \h </w:instrText>
      </w:r>
      <w:r>
        <w:fldChar w:fldCharType="separate"/>
      </w:r>
      <w:r>
        <w:t>39</w:t>
      </w:r>
      <w:r>
        <w:fldChar w:fldCharType="end"/>
      </w:r>
      <w:r>
        <w:fldChar w:fldCharType="end"/>
      </w:r>
    </w:p>
    <w:p>
      <w:pPr>
        <w:pStyle w:val="32"/>
        <w:tabs>
          <w:tab w:val="right" w:leader="dot" w:pos="9462"/>
        </w:tabs>
      </w:pPr>
      <w:r>
        <w:fldChar w:fldCharType="begin"/>
      </w:r>
      <w:r>
        <w:instrText xml:space="preserve"> HYPERLINK \l "_Toc18456" </w:instrText>
      </w:r>
      <w:r>
        <w:fldChar w:fldCharType="separate"/>
      </w:r>
      <w:r>
        <w:rPr>
          <w:rFonts w:hint="eastAsia" w:ascii="宋体" w:hAnsi="宋体" w:eastAsia="宋体"/>
          <w:szCs w:val="21"/>
        </w:rPr>
        <w:t>附件10 售后服务方案及承诺</w:t>
      </w:r>
      <w:r>
        <w:tab/>
      </w:r>
      <w:r>
        <w:fldChar w:fldCharType="begin"/>
      </w:r>
      <w:r>
        <w:instrText xml:space="preserve"> PAGEREF _Toc18456 \h </w:instrText>
      </w:r>
      <w:r>
        <w:fldChar w:fldCharType="separate"/>
      </w:r>
      <w:r>
        <w:t>40</w:t>
      </w:r>
      <w:r>
        <w:fldChar w:fldCharType="end"/>
      </w:r>
      <w:r>
        <w:fldChar w:fldCharType="end"/>
      </w:r>
    </w:p>
    <w:p>
      <w:pPr>
        <w:pStyle w:val="32"/>
        <w:tabs>
          <w:tab w:val="right" w:leader="dot" w:pos="9462"/>
        </w:tabs>
      </w:pPr>
      <w:r>
        <w:fldChar w:fldCharType="begin"/>
      </w:r>
      <w:r>
        <w:instrText xml:space="preserve"> HYPERLINK \l "_Toc25219" </w:instrText>
      </w:r>
      <w:r>
        <w:fldChar w:fldCharType="separate"/>
      </w:r>
      <w:r>
        <w:rPr>
          <w:rFonts w:hint="eastAsia" w:ascii="宋体" w:hAnsi="宋体"/>
          <w:bCs/>
          <w:szCs w:val="21"/>
        </w:rPr>
        <w:t>附件11 投标人认为需要提供的其它材料</w:t>
      </w:r>
      <w:r>
        <w:tab/>
      </w:r>
      <w:r>
        <w:fldChar w:fldCharType="begin"/>
      </w:r>
      <w:r>
        <w:instrText xml:space="preserve"> PAGEREF _Toc25219 \h </w:instrText>
      </w:r>
      <w:r>
        <w:fldChar w:fldCharType="separate"/>
      </w:r>
      <w:r>
        <w:t>41</w:t>
      </w:r>
      <w:r>
        <w:fldChar w:fldCharType="end"/>
      </w:r>
      <w:r>
        <w:fldChar w:fldCharType="end"/>
      </w:r>
    </w:p>
    <w:p>
      <w:pPr>
        <w:pStyle w:val="27"/>
        <w:tabs>
          <w:tab w:val="right" w:leader="dot" w:pos="9462"/>
        </w:tabs>
      </w:pPr>
      <w:r>
        <w:fldChar w:fldCharType="begin"/>
      </w:r>
      <w:r>
        <w:instrText xml:space="preserve"> HYPERLINK \l "_Toc30380" </w:instrText>
      </w:r>
      <w:r>
        <w:fldChar w:fldCharType="separate"/>
      </w:r>
      <w:r>
        <w:rPr>
          <w:rFonts w:hint="eastAsia" w:ascii="宋体" w:hAnsi="宋体"/>
        </w:rPr>
        <w:t>第五章 评标方法和标准</w:t>
      </w:r>
      <w:r>
        <w:tab/>
      </w:r>
      <w:r>
        <w:fldChar w:fldCharType="begin"/>
      </w:r>
      <w:r>
        <w:instrText xml:space="preserve"> PAGEREF _Toc30380 \h </w:instrText>
      </w:r>
      <w:r>
        <w:fldChar w:fldCharType="separate"/>
      </w:r>
      <w:r>
        <w:t>42</w:t>
      </w:r>
      <w:r>
        <w:fldChar w:fldCharType="end"/>
      </w:r>
      <w:r>
        <w:fldChar w:fldCharType="end"/>
      </w:r>
    </w:p>
    <w:p>
      <w:pPr>
        <w:pStyle w:val="27"/>
        <w:tabs>
          <w:tab w:val="right" w:leader="dot" w:pos="9462"/>
        </w:tabs>
      </w:pPr>
      <w:r>
        <w:fldChar w:fldCharType="begin"/>
      </w:r>
      <w:r>
        <w:instrText xml:space="preserve"> HYPERLINK \l "_Toc31714" </w:instrText>
      </w:r>
      <w:r>
        <w:fldChar w:fldCharType="separate"/>
      </w:r>
      <w:r>
        <w:rPr>
          <w:rFonts w:hint="eastAsia" w:ascii="宋体" w:hAnsi="宋体"/>
        </w:rPr>
        <w:t>第六章 货物需求一览表及技术要求</w:t>
      </w:r>
      <w:r>
        <w:tab/>
      </w:r>
      <w:r>
        <w:fldChar w:fldCharType="begin"/>
      </w:r>
      <w:r>
        <w:instrText xml:space="preserve"> PAGEREF _Toc31714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"_Toc9053" </w:instrText>
      </w:r>
      <w: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"_Toc21254" </w:instrText>
      </w:r>
      <w: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fldChar w:fldCharType="end"/>
      </w:r>
    </w:p>
    <w:p>
      <w:pPr>
        <w:pStyle w:val="13"/>
        <w:pageBreakBefore/>
        <w:tabs>
          <w:tab w:val="left" w:pos="5040"/>
        </w:tabs>
        <w:spacing w:before="240" w:beforeLines="100" w:after="240" w:afterLines="100"/>
        <w:ind w:firstLine="0" w:firstLineChars="0"/>
        <w:jc w:val="center"/>
        <w:outlineLvl w:val="0"/>
        <w:rPr>
          <w:rFonts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ascii="宋体" w:hAnsi="宋体" w:cs="宋体"/>
          <w:szCs w:val="21"/>
          <w:lang w:val="zh-CN" w:bidi="zh-CN"/>
        </w:rPr>
      </w:pPr>
      <w:r>
        <w:rPr>
          <w:rFonts w:hint="eastAsia" w:ascii="宋体" w:hAnsi="宋体" w:cs="宋体"/>
          <w:szCs w:val="21"/>
          <w:lang w:bidi="zh-CN"/>
        </w:rPr>
        <w:t>基础网络周界安全设备（包含软件和硬件）项目</w:t>
      </w:r>
      <w:r>
        <w:rPr>
          <w:rFonts w:hint="eastAsia" w:ascii="宋体" w:hAnsi="宋体" w:cs="宋体"/>
          <w:szCs w:val="21"/>
          <w:lang w:val="zh-CN" w:bidi="zh-CN"/>
        </w:rPr>
        <w:t>招标公告</w:t>
      </w:r>
    </w:p>
    <w:p>
      <w:pPr>
        <w:autoSpaceDE w:val="0"/>
        <w:autoSpaceDN w:val="0"/>
        <w:spacing w:line="360" w:lineRule="auto"/>
        <w:jc w:val="center"/>
        <w:rPr>
          <w:rFonts w:ascii="宋体" w:hAnsi="宋体" w:cs="宋体"/>
          <w:szCs w:val="21"/>
          <w:lang w:val="zh-CN" w:bidi="zh-CN"/>
        </w:rPr>
      </w:pPr>
      <w:r>
        <w:rPr>
          <w:rFonts w:hint="eastAsia" w:ascii="宋体" w:hAnsi="宋体" w:cs="宋体"/>
          <w:szCs w:val="21"/>
        </w:rPr>
        <w:t>（招标编号：WKZB-2025-0</w:t>
      </w:r>
      <w:r>
        <w:rPr>
          <w:rFonts w:ascii="宋体" w:hAnsi="宋体" w:cs="宋体"/>
          <w:szCs w:val="21"/>
        </w:rPr>
        <w:t>14</w:t>
      </w:r>
      <w:r>
        <w:rPr>
          <w:rFonts w:hint="eastAsia" w:ascii="宋体" w:hAnsi="宋体" w:cs="宋体"/>
          <w:szCs w:val="21"/>
        </w:rPr>
        <w:t>）</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bidi="zh-CN"/>
        </w:rPr>
        <w:t>基础网络周界安全设备（包含软件和硬件）项目</w:t>
      </w:r>
      <w:r>
        <w:rPr>
          <w:rFonts w:hint="eastAsia" w:ascii="宋体" w:hAnsi="宋体" w:cs="宋体"/>
          <w:szCs w:val="21"/>
          <w:lang w:val="zh-CN" w:bidi="zh-CN"/>
        </w:rPr>
        <w:t>，招标人为国药集团扬州威克生物工程有限公司。本项目已具备招议标条件，现招议标方式为竞争性磋商。</w:t>
      </w:r>
    </w:p>
    <w:p>
      <w:pPr>
        <w:autoSpaceDE w:val="0"/>
        <w:autoSpaceDN w:val="0"/>
        <w:spacing w:line="360" w:lineRule="auto"/>
        <w:jc w:val="left"/>
        <w:outlineLvl w:val="1"/>
        <w:rPr>
          <w:rFonts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1号地办公楼二楼中心机房</w:t>
      </w:r>
    </w:p>
    <w:p>
      <w:pPr>
        <w:autoSpaceDE w:val="0"/>
        <w:autoSpaceDN w:val="0"/>
        <w:spacing w:line="360" w:lineRule="auto"/>
        <w:jc w:val="left"/>
        <w:rPr>
          <w:rFonts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(001)</w:t>
      </w:r>
      <w:r>
        <w:rPr>
          <w:rFonts w:hint="eastAsia" w:ascii="宋体" w:hAnsi="宋体" w:cs="宋体"/>
          <w:szCs w:val="21"/>
          <w:lang w:bidi="zh-CN"/>
        </w:rPr>
        <w:t xml:space="preserve"> 基础网络周界安全设备（包含软件和硬件）项目</w:t>
      </w:r>
      <w:r>
        <w:rPr>
          <w:rFonts w:hint="eastAsia" w:ascii="宋体" w:hAnsi="宋体" w:cs="宋体"/>
          <w:szCs w:val="21"/>
          <w:lang w:val="zh-CN" w:bidi="zh-CN"/>
        </w:rPr>
        <w:t xml:space="preserve">;  </w:t>
      </w:r>
    </w:p>
    <w:p>
      <w:pPr>
        <w:autoSpaceDE w:val="0"/>
        <w:autoSpaceDN w:val="0"/>
        <w:spacing w:line="360" w:lineRule="auto"/>
        <w:jc w:val="left"/>
        <w:outlineLvl w:val="1"/>
        <w:rPr>
          <w:rFonts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(001</w:t>
      </w:r>
      <w:r>
        <w:rPr>
          <w:rFonts w:hint="eastAsia" w:ascii="宋体" w:hAnsi="宋体" w:cs="宋体"/>
          <w:szCs w:val="21"/>
          <w:lang w:bidi="zh-CN"/>
        </w:rPr>
        <w:t>基础网络周界安全设备（包含软件和硬件）项目</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ascii="宋体" w:hAnsi="宋体" w:cs="宋体"/>
          <w:bCs/>
          <w:szCs w:val="21"/>
        </w:rPr>
      </w:pPr>
      <w:r>
        <w:rPr>
          <w:rFonts w:hint="eastAsia" w:ascii="宋体" w:hAnsi="宋体" w:cs="宋体"/>
          <w:bCs/>
          <w:szCs w:val="21"/>
        </w:rPr>
        <w:t>在中国境内注册的法人或其他组织，遵守中国的法律、法规和条例</w:t>
      </w:r>
      <w:r>
        <w:rPr>
          <w:rFonts w:hint="eastAsia"/>
        </w:rPr>
        <w:t>；</w:t>
      </w:r>
    </w:p>
    <w:p>
      <w:pPr>
        <w:widowControl/>
        <w:numPr>
          <w:ilvl w:val="0"/>
          <w:numId w:val="4"/>
        </w:numPr>
        <w:spacing w:line="360" w:lineRule="auto"/>
        <w:ind w:firstLine="420" w:firstLineChars="200"/>
        <w:jc w:val="left"/>
        <w:rPr>
          <w:rFonts w:ascii="宋体" w:hAnsi="宋体" w:cs="宋体"/>
          <w:bCs/>
          <w:szCs w:val="21"/>
        </w:rPr>
      </w:pPr>
      <w:r>
        <w:rPr>
          <w:rFonts w:hint="eastAsia" w:ascii="宋体" w:hAnsi="宋体" w:cs="宋体"/>
          <w:bCs/>
          <w:szCs w:val="21"/>
        </w:rPr>
        <w:t>具有良好的财务状况(提供2024年度财务报表，含资产负债表、损益表（利润表）、现金流量表或投标截止日前三个月内基本开户行开具的资信证明)，有依法缴纳税收和社会保障资金的良好记录（提供投标截止日前6个月内任意1个月已缴凭证）；</w:t>
      </w:r>
    </w:p>
    <w:p>
      <w:pPr>
        <w:widowControl/>
        <w:numPr>
          <w:ilvl w:val="0"/>
          <w:numId w:val="4"/>
        </w:numPr>
        <w:spacing w:line="360" w:lineRule="auto"/>
        <w:ind w:firstLine="420" w:firstLineChars="200"/>
        <w:jc w:val="left"/>
        <w:rPr>
          <w:rFonts w:ascii="宋体" w:hAnsi="宋体" w:cs="宋体"/>
          <w:bCs/>
          <w:szCs w:val="21"/>
        </w:rPr>
      </w:pPr>
      <w:r>
        <w:rPr>
          <w:rFonts w:hint="eastAsia" w:ascii="宋体" w:hAnsi="宋体" w:cs="宋体"/>
          <w:bCs/>
          <w:szCs w:val="21"/>
        </w:rPr>
        <w:t>投标人应为拟投产品生产厂家或代理商，如果投标人是代理商，应提供所投产品生产厂家出具的合法且在有效期内的授权书；</w:t>
      </w:r>
    </w:p>
    <w:p>
      <w:pPr>
        <w:widowControl/>
        <w:numPr>
          <w:ilvl w:val="0"/>
          <w:numId w:val="4"/>
        </w:numPr>
        <w:spacing w:line="360" w:lineRule="auto"/>
        <w:ind w:firstLine="420" w:firstLineChars="200"/>
        <w:jc w:val="left"/>
        <w:rPr>
          <w:szCs w:val="21"/>
        </w:rPr>
      </w:pPr>
      <w:r>
        <w:rPr>
          <w:rFonts w:hint="eastAsia" w:ascii="宋体" w:hAnsi="宋体" w:cs="宋体"/>
          <w:bCs/>
          <w:szCs w:val="21"/>
        </w:rPr>
        <w:t>投标人法定代表人为同一个人的两个及两个以上法人，母公司与全资子公司/由其控股的子公司，不得同时参与本项目；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ascii="宋体" w:hAnsi="宋体" w:cs="宋体"/>
          <w:bCs/>
          <w:szCs w:val="21"/>
        </w:rPr>
      </w:pPr>
      <w:r>
        <w:rPr>
          <w:rFonts w:hint="eastAsia" w:ascii="宋体" w:hAnsi="宋体" w:cs="宋体"/>
          <w:bCs/>
          <w:szCs w:val="21"/>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ascii="宋体" w:hAnsi="宋体" w:cs="宋体"/>
          <w:bCs/>
          <w:szCs w:val="21"/>
        </w:rPr>
      </w:pPr>
      <w:r>
        <w:rPr>
          <w:rFonts w:hint="eastAsia" w:ascii="宋体" w:hAnsi="宋体" w:cs="宋体"/>
          <w:bCs/>
          <w:szCs w:val="21"/>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ascii="宋体" w:hAnsi="宋体" w:cs="宋体"/>
          <w:bCs/>
          <w:szCs w:val="21"/>
        </w:rPr>
      </w:pPr>
      <w:r>
        <w:rPr>
          <w:rFonts w:hint="eastAsia" w:ascii="宋体" w:hAnsi="宋体" w:cs="宋体"/>
          <w:bCs/>
          <w:szCs w:val="21"/>
        </w:rPr>
        <w:t>投标人不得将本项目招标内容以任何方式进行转包或分包；</w:t>
      </w:r>
    </w:p>
    <w:p>
      <w:pPr>
        <w:widowControl/>
        <w:numPr>
          <w:ilvl w:val="0"/>
          <w:numId w:val="4"/>
        </w:numPr>
        <w:spacing w:line="360" w:lineRule="auto"/>
        <w:ind w:firstLine="420" w:firstLineChars="200"/>
        <w:jc w:val="left"/>
        <w:rPr>
          <w:rFonts w:ascii="宋体" w:hAnsi="宋体" w:cs="宋体"/>
          <w:bCs/>
          <w:szCs w:val="21"/>
          <w:lang w:val="zh-CN"/>
        </w:rPr>
      </w:pPr>
      <w:r>
        <w:rPr>
          <w:rFonts w:hint="eastAsia" w:ascii="宋体" w:hAnsi="宋体" w:cs="宋体"/>
          <w:bCs/>
          <w:szCs w:val="21"/>
        </w:rPr>
        <w:t>本项目不接受联合体投标。</w:t>
      </w:r>
    </w:p>
    <w:p>
      <w:pPr>
        <w:autoSpaceDE w:val="0"/>
        <w:autoSpaceDN w:val="0"/>
        <w:spacing w:line="360" w:lineRule="auto"/>
        <w:jc w:val="left"/>
        <w:outlineLvl w:val="1"/>
        <w:rPr>
          <w:rFonts w:ascii="宋体" w:hAnsi="宋体" w:cs="宋体"/>
          <w:b/>
          <w:bCs/>
          <w:szCs w:val="21"/>
          <w:lang w:val="zh-CN" w:bidi="zh-CN"/>
        </w:rPr>
      </w:pPr>
      <w:bookmarkStart w:id="12" w:name="_Toc31840"/>
      <w:bookmarkStart w:id="13" w:name="_Toc31703"/>
      <w:r>
        <w:rPr>
          <w:rFonts w:hint="eastAsia" w:ascii="宋体" w:hAnsi="宋体" w:cs="宋体"/>
          <w:b/>
          <w:bCs/>
          <w:szCs w:val="21"/>
          <w:lang w:val="zh-CN" w:bidi="zh-CN"/>
        </w:rPr>
        <w:t>四、招标文件的获取</w:t>
      </w:r>
      <w:bookmarkEnd w:id="12"/>
      <w:bookmarkEnd w:id="13"/>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获取时间：以招标公告时间为准</w:t>
      </w:r>
    </w:p>
    <w:p>
      <w:pPr>
        <w:widowControl/>
        <w:spacing w:line="360" w:lineRule="auto"/>
        <w:jc w:val="left"/>
        <w:rPr>
          <w:rFonts w:ascii="宋体" w:hAnsi="宋体" w:cs="宋体"/>
          <w:szCs w:val="21"/>
        </w:rPr>
      </w:pPr>
      <w:r>
        <w:rPr>
          <w:rFonts w:hint="eastAsia" w:ascii="宋体" w:hAnsi="宋体" w:cs="宋体"/>
          <w:szCs w:val="21"/>
          <w:lang w:val="zh-CN" w:bidi="zh-CN"/>
        </w:rPr>
        <w:t>获取方式：</w:t>
      </w:r>
      <w:r>
        <w:rPr>
          <w:rFonts w:hint="eastAsia" w:ascii="宋体" w:hAnsi="宋体" w:cs="宋体"/>
          <w:szCs w:val="21"/>
          <w:lang w:bidi="zh-CN"/>
        </w:rPr>
        <w:t>线上获取</w:t>
      </w:r>
      <w:r>
        <w:rPr>
          <w:rFonts w:hint="eastAsia" w:ascii="宋体" w:hAnsi="宋体" w:cs="宋体"/>
          <w:kern w:val="0"/>
          <w:szCs w:val="21"/>
        </w:rPr>
        <w:t>。</w:t>
      </w:r>
    </w:p>
    <w:p>
      <w:pPr>
        <w:autoSpaceDE w:val="0"/>
        <w:autoSpaceDN w:val="0"/>
        <w:spacing w:line="360" w:lineRule="auto"/>
        <w:jc w:val="left"/>
        <w:rPr>
          <w:rFonts w:ascii="宋体" w:hAnsi="宋体" w:cs="宋体"/>
          <w:b/>
          <w:bCs/>
          <w:szCs w:val="21"/>
          <w:lang w:val="zh-CN" w:bidi="zh-CN"/>
        </w:rPr>
      </w:pPr>
      <w:r>
        <w:rPr>
          <w:rFonts w:hint="eastAsia" w:ascii="宋体" w:hAnsi="宋体" w:cs="宋体"/>
          <w:b/>
          <w:bCs/>
          <w:szCs w:val="21"/>
          <w:lang w:val="zh-CN" w:bidi="zh-CN"/>
        </w:rPr>
        <w:t>五、投标文件的递交</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递交截止时间：以招标公告时间为准</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递交方式：</w:t>
      </w:r>
      <w:r>
        <w:rPr>
          <w:rFonts w:hint="eastAsia" w:ascii="宋体" w:hAnsi="宋体" w:cs="宋体"/>
          <w:szCs w:val="21"/>
          <w:lang w:bidi="zh-CN"/>
        </w:rPr>
        <w:t>电子投标文件通过国药集团扬州威克生物工程有限公司官网--招聘投标--招标信息（http://www.sinopharm-vacbio.com/）要求递交。</w:t>
      </w:r>
    </w:p>
    <w:p>
      <w:pPr>
        <w:autoSpaceDE w:val="0"/>
        <w:autoSpaceDN w:val="0"/>
        <w:spacing w:line="360" w:lineRule="auto"/>
        <w:jc w:val="left"/>
        <w:outlineLvl w:val="1"/>
        <w:rPr>
          <w:rFonts w:ascii="宋体" w:hAnsi="宋体" w:cs="宋体"/>
          <w:b/>
          <w:bCs/>
          <w:szCs w:val="21"/>
          <w:lang w:val="zh-CN" w:bidi="zh-CN"/>
        </w:rPr>
      </w:pPr>
      <w:bookmarkStart w:id="14" w:name="_Toc6081"/>
      <w:bookmarkStart w:id="15" w:name="_Toc23789"/>
      <w:r>
        <w:rPr>
          <w:rFonts w:hint="eastAsia" w:ascii="宋体" w:hAnsi="宋体" w:cs="宋体"/>
          <w:b/>
          <w:bCs/>
          <w:szCs w:val="21"/>
          <w:lang w:val="zh-CN" w:bidi="zh-CN"/>
        </w:rPr>
        <w:t>六、开标时间及地点</w:t>
      </w:r>
      <w:bookmarkEnd w:id="14"/>
      <w:bookmarkEnd w:id="15"/>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开标时间：以</w:t>
      </w:r>
      <w:r>
        <w:rPr>
          <w:rFonts w:hint="eastAsia" w:ascii="宋体" w:hAnsi="宋体" w:cs="宋体"/>
          <w:szCs w:val="21"/>
          <w:lang w:bidi="zh-CN"/>
        </w:rPr>
        <w:t>具体通知</w:t>
      </w:r>
      <w:r>
        <w:rPr>
          <w:rFonts w:hint="eastAsia" w:ascii="宋体" w:hAnsi="宋体" w:cs="宋体"/>
          <w:szCs w:val="21"/>
          <w:lang w:val="zh-CN" w:bidi="zh-CN"/>
        </w:rPr>
        <w:t>时间为准</w:t>
      </w:r>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开标地点：</w:t>
      </w:r>
      <w:r>
        <w:rPr>
          <w:rFonts w:hint="eastAsia"/>
          <w:b/>
          <w:bCs/>
        </w:rPr>
        <w:t xml:space="preserve">扬州邗江工业园牧羊路15号，收件人：陈娟 </w:t>
      </w:r>
      <w:r>
        <w:rPr>
          <w:b/>
          <w:bCs/>
        </w:rPr>
        <w:t xml:space="preserve"> 0514-85106680转8025</w:t>
      </w:r>
      <w:r>
        <w:rPr>
          <w:rFonts w:hint="eastAsia"/>
          <w:b/>
          <w:bCs/>
        </w:rPr>
        <w:t xml:space="preserve"> </w:t>
      </w:r>
      <w:r>
        <w:rPr>
          <w:rFonts w:hint="eastAsia" w:ascii="宋体" w:hAnsi="宋体" w:cs="宋体"/>
          <w:szCs w:val="21"/>
          <w:lang w:bidi="zh-CN"/>
        </w:rPr>
        <w:t>。</w:t>
      </w:r>
    </w:p>
    <w:p>
      <w:pPr>
        <w:autoSpaceDE w:val="0"/>
        <w:autoSpaceDN w:val="0"/>
        <w:spacing w:line="360" w:lineRule="auto"/>
        <w:jc w:val="left"/>
        <w:outlineLvl w:val="1"/>
        <w:rPr>
          <w:rFonts w:ascii="宋体" w:hAnsi="宋体" w:cs="宋体"/>
          <w:b/>
          <w:bCs/>
          <w:szCs w:val="21"/>
          <w:lang w:val="zh-CN" w:bidi="zh-CN"/>
        </w:rPr>
      </w:pPr>
      <w:bookmarkStart w:id="16" w:name="_Toc26190"/>
      <w:bookmarkStart w:id="17" w:name="_Toc11141"/>
      <w:r>
        <w:rPr>
          <w:rFonts w:hint="eastAsia" w:ascii="宋体" w:hAnsi="宋体" w:cs="宋体"/>
          <w:b/>
          <w:bCs/>
          <w:szCs w:val="21"/>
          <w:lang w:val="zh-CN" w:bidi="zh-CN"/>
        </w:rPr>
        <w:t>七、其他</w:t>
      </w:r>
      <w:bookmarkEnd w:id="16"/>
      <w:bookmarkEnd w:id="17"/>
    </w:p>
    <w:p>
      <w:pPr>
        <w:numPr>
          <w:ilvl w:val="0"/>
          <w:numId w:val="5"/>
        </w:num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采购需求：</w:t>
      </w:r>
      <w:r>
        <w:rPr>
          <w:rFonts w:hint="eastAsia" w:ascii="宋体" w:hAnsi="宋体" w:cs="宋体"/>
          <w:szCs w:val="21"/>
          <w:lang w:bidi="zh-CN"/>
        </w:rPr>
        <w:t>国药集团扬州威克生物工程有限公司拟通过竞争性磋商方式选择供应商供应</w:t>
      </w:r>
      <w:r>
        <w:rPr>
          <w:rFonts w:hint="eastAsia"/>
        </w:rPr>
        <w:t>基础网络周界安全设备（包含软件和硬件）项目</w:t>
      </w:r>
      <w:r>
        <w:rPr>
          <w:rFonts w:hint="eastAsia" w:ascii="宋体" w:hAnsi="宋体" w:cs="宋体"/>
          <w:szCs w:val="21"/>
          <w:lang w:bidi="zh-CN"/>
        </w:rPr>
        <w:t xml:space="preserve">，本项目以实际采购数量，据实结算。(技术要求详见第六章） </w:t>
      </w:r>
    </w:p>
    <w:p>
      <w:pPr>
        <w:numPr>
          <w:ilvl w:val="0"/>
          <w:numId w:val="5"/>
        </w:numPr>
        <w:autoSpaceDE w:val="0"/>
        <w:autoSpaceDN w:val="0"/>
        <w:spacing w:line="360" w:lineRule="auto"/>
        <w:ind w:firstLine="420" w:firstLineChars="200"/>
        <w:jc w:val="left"/>
        <w:rPr>
          <w:rFonts w:ascii="宋体" w:hAnsi="宋体" w:cs="宋体"/>
          <w:szCs w:val="21"/>
          <w:lang w:bidi="zh-CN"/>
        </w:rPr>
      </w:pPr>
      <w:r>
        <w:rPr>
          <w:rFonts w:hint="eastAsia" w:ascii="宋体" w:hAnsi="宋体" w:cs="宋体"/>
          <w:szCs w:val="21"/>
          <w:lang w:bidi="zh-CN"/>
        </w:rPr>
        <w:t>交货期</w:t>
      </w:r>
      <w:r>
        <w:rPr>
          <w:rFonts w:hint="eastAsia" w:ascii="宋体" w:hAnsi="宋体" w:cs="宋体"/>
          <w:szCs w:val="21"/>
          <w:lang w:val="zh-CN" w:bidi="zh-CN"/>
        </w:rPr>
        <w:t>：根据</w:t>
      </w:r>
      <w:r>
        <w:rPr>
          <w:rFonts w:hint="eastAsia" w:ascii="宋体" w:hAnsi="宋体" w:cs="宋体"/>
          <w:szCs w:val="21"/>
          <w:lang w:bidi="zh-CN"/>
        </w:rPr>
        <w:t>招标人</w:t>
      </w:r>
      <w:r>
        <w:rPr>
          <w:rFonts w:hint="eastAsia" w:ascii="宋体" w:hAnsi="宋体" w:cs="宋体"/>
          <w:szCs w:val="21"/>
          <w:lang w:val="zh-CN" w:bidi="zh-CN"/>
        </w:rPr>
        <w:t>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w:t>
      </w:r>
    </w:p>
    <w:p>
      <w:pPr>
        <w:numPr>
          <w:ilvl w:val="0"/>
          <w:numId w:val="5"/>
        </w:numPr>
        <w:autoSpaceDE w:val="0"/>
        <w:autoSpaceDN w:val="0"/>
        <w:spacing w:line="360" w:lineRule="auto"/>
        <w:ind w:firstLine="420" w:firstLineChars="200"/>
        <w:jc w:val="left"/>
        <w:rPr>
          <w:rFonts w:ascii="宋体" w:hAnsi="宋体" w:cs="宋体"/>
          <w:szCs w:val="21"/>
          <w:lang w:bidi="zh-CN"/>
        </w:rPr>
      </w:pPr>
      <w:r>
        <w:rPr>
          <w:rFonts w:hint="eastAsia" w:ascii="宋体" w:hAnsi="宋体" w:cs="宋体"/>
          <w:szCs w:val="21"/>
          <w:lang w:bidi="zh-CN"/>
        </w:rPr>
        <w:t>供货期限：按合同签约定。</w:t>
      </w:r>
    </w:p>
    <w:p>
      <w:pPr>
        <w:pStyle w:val="80"/>
        <w:numPr>
          <w:ilvl w:val="0"/>
          <w:numId w:val="5"/>
        </w:numPr>
        <w:spacing w:after="0" w:afterLines="0"/>
        <w:ind w:firstLine="420"/>
        <w:rPr>
          <w:rFonts w:ascii="宋体" w:hAnsi="宋体" w:eastAsia="宋体"/>
          <w:sz w:val="21"/>
          <w:szCs w:val="21"/>
          <w:lang w:val="en-US"/>
        </w:rPr>
      </w:pPr>
      <w:r>
        <w:rPr>
          <w:rFonts w:hint="eastAsia" w:ascii="宋体" w:hAnsi="宋体" w:eastAsia="宋体"/>
          <w:sz w:val="21"/>
          <w:szCs w:val="21"/>
          <w:lang w:val="en-US"/>
        </w:rPr>
        <w:t>交货地址：招标人指定交货地点。</w:t>
      </w:r>
    </w:p>
    <w:p>
      <w:pPr>
        <w:pStyle w:val="80"/>
        <w:numPr>
          <w:ilvl w:val="0"/>
          <w:numId w:val="5"/>
        </w:numPr>
        <w:spacing w:after="0" w:afterLines="0"/>
        <w:ind w:firstLine="420"/>
        <w:rPr>
          <w:sz w:val="21"/>
          <w:szCs w:val="21"/>
          <w:lang w:val="en-US"/>
        </w:rPr>
      </w:pPr>
      <w:r>
        <w:rPr>
          <w:rFonts w:hint="eastAsia" w:ascii="宋体" w:hAnsi="宋体" w:eastAsia="宋体"/>
          <w:sz w:val="21"/>
          <w:szCs w:val="21"/>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ascii="宋体" w:hAnsi="宋体" w:cs="宋体"/>
          <w:szCs w:val="21"/>
          <w:lang w:bidi="zh-CN"/>
        </w:rPr>
      </w:pPr>
      <w:r>
        <w:rPr>
          <w:rFonts w:hint="eastAsia" w:ascii="宋体" w:hAnsi="宋体" w:cs="宋体"/>
          <w:szCs w:val="21"/>
          <w:lang w:val="zh-CN" w:bidi="zh-CN"/>
        </w:rPr>
        <w:t>有意获取本项目招标文件的投标人</w:t>
      </w:r>
      <w:r>
        <w:rPr>
          <w:rFonts w:hint="eastAsia" w:ascii="宋体" w:hAnsi="宋体" w:cs="宋体"/>
          <w:szCs w:val="21"/>
          <w:lang w:bidi="zh-CN"/>
        </w:rPr>
        <w:t>，</w:t>
      </w:r>
      <w:r>
        <w:rPr>
          <w:rFonts w:hint="eastAsia" w:ascii="宋体" w:hAnsi="宋体" w:cs="宋体"/>
          <w:szCs w:val="21"/>
          <w:lang w:val="zh-CN" w:bidi="zh-CN"/>
        </w:rPr>
        <w:t>须在本公告规定时间内于</w:t>
      </w:r>
      <w:r>
        <w:rPr>
          <w:rFonts w:hint="eastAsia" w:ascii="宋体" w:hAnsi="宋体" w:cs="宋体"/>
          <w:szCs w:val="21"/>
          <w:lang w:bidi="zh-CN"/>
        </w:rPr>
        <w:t>国药集团扬州威克生物工程有限公司官网--招聘投标--招标信息（http://www.sinopharm-vacbio.com/）报名并获取</w:t>
      </w:r>
      <w:r>
        <w:rPr>
          <w:rFonts w:hint="eastAsia" w:ascii="宋体" w:hAnsi="宋体" w:cs="宋体"/>
          <w:szCs w:val="21"/>
          <w:lang w:val="zh-CN" w:bidi="zh-CN"/>
        </w:rPr>
        <w:t>招标文件。</w:t>
      </w:r>
    </w:p>
    <w:p>
      <w:pPr>
        <w:numPr>
          <w:ilvl w:val="0"/>
          <w:numId w:val="5"/>
        </w:numPr>
        <w:autoSpaceDE w:val="0"/>
        <w:autoSpaceDN w:val="0"/>
        <w:spacing w:line="360" w:lineRule="auto"/>
        <w:ind w:firstLine="420" w:firstLineChars="200"/>
        <w:jc w:val="left"/>
        <w:rPr>
          <w:lang w:val="zh-CN"/>
        </w:rPr>
      </w:pPr>
      <w:bookmarkStart w:id="18" w:name="_Toc16177"/>
      <w:r>
        <w:rPr>
          <w:rFonts w:hint="eastAsia" w:ascii="宋体" w:hAnsi="宋体" w:cs="宋体"/>
          <w:szCs w:val="21"/>
          <w:lang w:val="zh-CN" w:bidi="zh-CN"/>
        </w:rPr>
        <w:t>如果潜在投标人认为本采购项目投标资格或采购内容中存在倾向性或排斥性的内容，可以在</w:t>
      </w:r>
      <w:r>
        <w:rPr>
          <w:rFonts w:hint="eastAsia" w:ascii="宋体" w:hAnsi="宋体" w:cs="宋体"/>
          <w:szCs w:val="21"/>
          <w:lang w:bidi="zh-CN"/>
        </w:rPr>
        <w:t>获得</w:t>
      </w:r>
      <w:r>
        <w:rPr>
          <w:rFonts w:hint="eastAsia" w:ascii="宋体" w:hAnsi="宋体" w:cs="宋体"/>
          <w:szCs w:val="21"/>
          <w:lang w:val="zh-CN" w:bidi="zh-CN"/>
        </w:rPr>
        <w:t>招标文件截止时间或者投标截止时间</w:t>
      </w:r>
      <w:r>
        <w:rPr>
          <w:rFonts w:hint="eastAsia" w:ascii="宋体" w:hAnsi="宋体" w:cs="宋体"/>
          <w:szCs w:val="21"/>
          <w:lang w:bidi="zh-CN"/>
        </w:rPr>
        <w:t>3</w:t>
      </w:r>
      <w:r>
        <w:rPr>
          <w:rFonts w:hint="eastAsia" w:ascii="宋体" w:hAnsi="宋体" w:cs="宋体"/>
          <w:szCs w:val="21"/>
          <w:lang w:val="zh-CN" w:bidi="zh-CN"/>
        </w:rPr>
        <w:t>日前以书面形式向</w:t>
      </w:r>
      <w:r>
        <w:rPr>
          <w:rFonts w:hint="eastAsia" w:ascii="宋体" w:hAnsi="宋体" w:cs="宋体"/>
          <w:szCs w:val="21"/>
          <w:lang w:bidi="zh-CN"/>
        </w:rPr>
        <w:t>国药集团扬州威克生物工程有限公司</w:t>
      </w:r>
      <w:r>
        <w:rPr>
          <w:rFonts w:hint="eastAsia" w:ascii="宋体" w:hAnsi="宋体" w:cs="宋体"/>
          <w:szCs w:val="21"/>
          <w:lang w:val="zh-CN" w:bidi="zh-CN"/>
        </w:rPr>
        <w:t>提出，并附相关证明资料。</w:t>
      </w:r>
    </w:p>
    <w:p>
      <w:pPr>
        <w:pStyle w:val="80"/>
        <w:numPr>
          <w:ilvl w:val="0"/>
          <w:numId w:val="5"/>
        </w:numPr>
        <w:spacing w:after="120"/>
        <w:ind w:firstLineChars="0"/>
        <w:rPr>
          <w:rFonts w:ascii="宋体" w:hAnsi="宋体" w:eastAsia="宋体"/>
          <w:sz w:val="21"/>
          <w:szCs w:val="21"/>
          <w:lang w:val="en-US" w:bidi="ar-SA"/>
        </w:rPr>
      </w:pPr>
      <w:r>
        <w:rPr>
          <w:rFonts w:hint="eastAsia" w:ascii="宋体" w:hAnsi="宋体" w:eastAsia="宋体"/>
          <w:sz w:val="21"/>
          <w:szCs w:val="21"/>
        </w:rPr>
        <w:t>本项目公告发布平台</w:t>
      </w:r>
      <w:r>
        <w:rPr>
          <w:rFonts w:hint="eastAsia" w:ascii="宋体" w:hAnsi="宋体" w:eastAsia="宋体"/>
          <w:sz w:val="21"/>
          <w:szCs w:val="21"/>
          <w:lang w:val="en-US"/>
        </w:rPr>
        <w:t>：国药集团扬州威克生物工程有限公司官网（http://www.sinopharm-vacbio.com/）</w:t>
      </w:r>
      <w:r>
        <w:rPr>
          <w:rFonts w:hint="eastAsia" w:ascii="宋体" w:hAnsi="宋体" w:eastAsia="宋体"/>
          <w:sz w:val="21"/>
          <w:szCs w:val="21"/>
        </w:rPr>
        <w:t>。因轻信其他组织、个人或媒介提供的信息而造成的损失，其责任由投标人自行负责。</w:t>
      </w:r>
    </w:p>
    <w:p>
      <w:pPr>
        <w:autoSpaceDE w:val="0"/>
        <w:autoSpaceDN w:val="0"/>
        <w:spacing w:line="360" w:lineRule="auto"/>
        <w:jc w:val="left"/>
        <w:outlineLvl w:val="1"/>
        <w:rPr>
          <w:rFonts w:ascii="宋体" w:hAnsi="宋体" w:cs="宋体"/>
          <w:b/>
          <w:bCs/>
          <w:szCs w:val="21"/>
          <w:lang w:val="zh-CN" w:bidi="zh-CN"/>
        </w:rPr>
      </w:pPr>
      <w:bookmarkStart w:id="19" w:name="_Toc28912"/>
      <w:r>
        <w:rPr>
          <w:rFonts w:hint="eastAsia" w:ascii="宋体" w:hAnsi="宋体" w:cs="宋体"/>
          <w:b/>
          <w:bCs/>
          <w:szCs w:val="21"/>
          <w:lang w:val="zh-CN" w:bidi="zh-CN"/>
        </w:rPr>
        <w:t>八、监督部门</w:t>
      </w:r>
      <w:bookmarkEnd w:id="18"/>
      <w:bookmarkEnd w:id="19"/>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本招标项目的监督为</w:t>
      </w:r>
      <w:r>
        <w:rPr>
          <w:rFonts w:hint="eastAsia" w:ascii="宋体" w:hAnsi="宋体" w:cs="宋体"/>
          <w:szCs w:val="21"/>
          <w:lang w:bidi="zh-CN"/>
        </w:rPr>
        <w:t>公司纪检人员</w:t>
      </w:r>
      <w:r>
        <w:rPr>
          <w:rFonts w:hint="eastAsia" w:ascii="宋体" w:hAnsi="宋体" w:cs="宋体"/>
          <w:szCs w:val="21"/>
          <w:lang w:val="zh-CN" w:bidi="zh-CN"/>
        </w:rPr>
        <w:t>。</w:t>
      </w:r>
    </w:p>
    <w:p>
      <w:pPr>
        <w:autoSpaceDE w:val="0"/>
        <w:autoSpaceDN w:val="0"/>
        <w:spacing w:line="360" w:lineRule="auto"/>
        <w:jc w:val="left"/>
        <w:outlineLvl w:val="1"/>
        <w:rPr>
          <w:rFonts w:ascii="宋体" w:hAnsi="宋体" w:cs="宋体"/>
          <w:b/>
          <w:bCs/>
          <w:szCs w:val="21"/>
          <w:lang w:val="zh-CN" w:bidi="zh-CN"/>
        </w:rPr>
      </w:pPr>
      <w:bookmarkStart w:id="20" w:name="_Toc21816"/>
      <w:bookmarkStart w:id="21" w:name="_Toc5800"/>
      <w:r>
        <w:rPr>
          <w:rFonts w:hint="eastAsia" w:ascii="宋体" w:hAnsi="宋体" w:cs="宋体"/>
          <w:b/>
          <w:bCs/>
          <w:szCs w:val="21"/>
          <w:lang w:val="zh-CN" w:bidi="zh-CN"/>
        </w:rPr>
        <w:t>九、联系方式</w:t>
      </w:r>
      <w:bookmarkEnd w:id="20"/>
      <w:bookmarkEnd w:id="21"/>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 xml:space="preserve">   招标人：</w:t>
      </w:r>
      <w:r>
        <w:rPr>
          <w:rFonts w:hint="eastAsia" w:ascii="宋体" w:hAnsi="宋体" w:cs="宋体"/>
          <w:szCs w:val="21"/>
          <w:lang w:bidi="zh-CN"/>
        </w:rPr>
        <w:t>国药集团扬州威克生物工程有限公司</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地 址： 扬州邗江工业园牧羊路15号</w:t>
      </w:r>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 xml:space="preserve">   联 系 人：</w:t>
      </w:r>
      <w:r>
        <w:rPr>
          <w:rFonts w:hint="eastAsia" w:ascii="宋体" w:hAnsi="宋体" w:cs="宋体"/>
          <w:szCs w:val="21"/>
          <w:lang w:bidi="zh-CN"/>
        </w:rPr>
        <w:t>陈娟</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电 话 ：</w:t>
      </w:r>
      <w:r>
        <w:rPr>
          <w:rFonts w:hint="eastAsia" w:ascii="宋体" w:hAnsi="宋体" w:cs="宋体"/>
          <w:szCs w:val="21"/>
          <w:lang w:bidi="zh-CN"/>
        </w:rPr>
        <w:t xml:space="preserve">  0514-85106680转8025</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电子邮件：</w:t>
      </w:r>
      <w:r>
        <w:rPr>
          <w:rFonts w:hint="eastAsia" w:ascii="宋体" w:hAnsi="宋体" w:cs="宋体"/>
          <w:szCs w:val="21"/>
          <w:lang w:bidi="zh-CN"/>
        </w:rPr>
        <w:t xml:space="preserve"> chenjuan1@sinopharm.com</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r>
        <w:rPr>
          <w:rFonts w:hint="eastAsia" w:ascii="宋体" w:hAnsi="宋体" w:cs="宋体"/>
          <w:szCs w:val="21"/>
          <w:lang w:val="zh-CN" w:bidi="zh-CN"/>
        </w:rPr>
        <w:t xml:space="preserve">  </w:t>
      </w:r>
      <w:bookmarkStart w:id="22" w:name="_Toc390940505"/>
      <w:bookmarkStart w:id="23" w:name="_Toc144974495"/>
      <w:bookmarkStart w:id="24" w:name="_Toc179632544"/>
      <w:bookmarkStart w:id="25" w:name="_Toc77629019"/>
      <w:bookmarkStart w:id="26" w:name="_Toc77628939"/>
      <w:bookmarkStart w:id="27" w:name="_Toc233102490"/>
      <w:bookmarkStart w:id="28" w:name="_Toc29240255"/>
      <w:bookmarkStart w:id="29" w:name="_Toc26325"/>
      <w:bookmarkStart w:id="30" w:name="_Toc152042303"/>
      <w:bookmarkStart w:id="31" w:name="_Toc152045527"/>
      <w:bookmarkStart w:id="32" w:name="_Toc77628605"/>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ascii="宋体" w:hAnsi="宋体" w:eastAsia="宋体"/>
          <w:b/>
          <w:sz w:val="21"/>
          <w:szCs w:val="21"/>
        </w:rPr>
      </w:pPr>
      <w:bookmarkStart w:id="33" w:name="_Toc233102491"/>
      <w:bookmarkStart w:id="34" w:name="_Toc29240256"/>
      <w:bookmarkStart w:id="35" w:name="_Toc77628606"/>
      <w:bookmarkStart w:id="36" w:name="_Toc152045528"/>
      <w:bookmarkStart w:id="37" w:name="_Toc144974496"/>
      <w:bookmarkStart w:id="38" w:name="_Toc15300"/>
      <w:bookmarkStart w:id="39" w:name="_Toc390940506"/>
      <w:bookmarkStart w:id="40" w:name="_Toc77629020"/>
      <w:bookmarkStart w:id="41" w:name="_Toc152042304"/>
      <w:bookmarkStart w:id="42" w:name="_Toc179632545"/>
      <w:bookmarkStart w:id="43" w:name="_Toc77628940"/>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招标人：国药集团扬州威克生物工程有限公司</w:t>
            </w:r>
          </w:p>
          <w:p>
            <w:pPr>
              <w:spacing w:line="360" w:lineRule="auto"/>
              <w:rPr>
                <w:rFonts w:ascii="宋体" w:hAnsi="宋体"/>
                <w:szCs w:val="21"/>
              </w:rPr>
            </w:pPr>
            <w:r>
              <w:rPr>
                <w:rFonts w:hint="eastAsia" w:ascii="宋体" w:hAnsi="宋体"/>
                <w:szCs w:val="21"/>
              </w:rPr>
              <w:t>地址： 扬州邗江工业园牧羊路15号</w:t>
            </w:r>
          </w:p>
          <w:p>
            <w:pPr>
              <w:pStyle w:val="2"/>
            </w:pPr>
            <w:r>
              <w:rPr>
                <w:rFonts w:hint="eastAsia"/>
              </w:rPr>
              <w:t>联系人：陈娟</w:t>
            </w:r>
          </w:p>
          <w:p>
            <w:pPr>
              <w:spacing w:line="360" w:lineRule="auto"/>
              <w:rPr>
                <w:rFonts w:ascii="宋体" w:hAnsi="宋体"/>
                <w:szCs w:val="21"/>
                <w:u w:val="single"/>
              </w:rPr>
            </w:pPr>
            <w:r>
              <w:rPr>
                <w:rFonts w:hint="eastAsia" w:ascii="宋体" w:hAnsi="宋体"/>
                <w:szCs w:val="21"/>
              </w:rPr>
              <w:t>电话：</w:t>
            </w:r>
            <w:r>
              <w:rPr>
                <w:rFonts w:hint="eastAsia" w:ascii="宋体" w:hAnsi="宋体" w:cs="宋体"/>
                <w:szCs w:val="21"/>
                <w:lang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ascii="宋体" w:hAnsi="宋体" w:cs="Arial"/>
                <w:b/>
                <w:bCs/>
                <w:szCs w:val="21"/>
              </w:rPr>
            </w:pPr>
            <w:r>
              <w:rPr>
                <w:rFonts w:hint="eastAsia" w:ascii="宋体" w:hAnsi="宋体" w:cs="Arial"/>
                <w:b/>
                <w:bCs/>
                <w:szCs w:val="21"/>
              </w:rPr>
              <w:t>投标人资格要求：</w:t>
            </w:r>
          </w:p>
          <w:p>
            <w:pPr>
              <w:spacing w:line="360" w:lineRule="auto"/>
              <w:rPr>
                <w:rFonts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ascii="宋体" w:hAnsi="宋体" w:cs="Arial"/>
                <w:szCs w:val="21"/>
              </w:rPr>
            </w:pPr>
            <w:r>
              <w:rPr>
                <w:rFonts w:hint="eastAsia" w:ascii="宋体" w:hAnsi="宋体" w:cs="Arial"/>
                <w:szCs w:val="21"/>
              </w:rPr>
              <w:t>2．具有良好的财务状况(提供2023年度财务报表，含资产负债表、损益表（利润表）、现金流量表或投标截止日前三个月内基本开户行开具的资信证明)；</w:t>
            </w:r>
          </w:p>
          <w:p>
            <w:pPr>
              <w:spacing w:line="360" w:lineRule="auto"/>
              <w:rPr>
                <w:rFonts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代理商</w:t>
            </w:r>
            <w:r>
              <w:rPr>
                <w:rFonts w:ascii="宋体" w:hAnsi="宋体" w:cs="Arial"/>
                <w:szCs w:val="21"/>
              </w:rPr>
              <w:t>的资格声明：是</w:t>
            </w:r>
          </w:p>
          <w:p>
            <w:pPr>
              <w:spacing w:line="360" w:lineRule="auto"/>
              <w:rPr>
                <w:rFonts w:ascii="宋体" w:hAnsi="宋体" w:cs="Arial"/>
                <w:szCs w:val="21"/>
              </w:rPr>
            </w:pPr>
            <w:r>
              <w:rPr>
                <w:rFonts w:hint="eastAsia" w:ascii="宋体" w:hAnsi="宋体" w:cs="Arial"/>
                <w:szCs w:val="21"/>
              </w:rPr>
              <w:t>生产厂商</w:t>
            </w:r>
            <w:r>
              <w:rPr>
                <w:rFonts w:ascii="宋体" w:hAnsi="宋体" w:cs="Arial"/>
                <w:szCs w:val="21"/>
              </w:rPr>
              <w:t>的授权书：提供</w:t>
            </w:r>
            <w:r>
              <w:rPr>
                <w:rFonts w:hint="eastAsia" w:ascii="宋体" w:hAnsi="宋体" w:cs="Arial"/>
                <w:szCs w:val="21"/>
              </w:rPr>
              <w:t>有效期内</w:t>
            </w:r>
            <w:r>
              <w:rPr>
                <w:rFonts w:ascii="宋体" w:hAnsi="宋体" w:cs="Arial"/>
                <w:szCs w:val="21"/>
              </w:rPr>
              <w:t>生产厂商关于本项目授权（函）</w:t>
            </w:r>
            <w:r>
              <w:rPr>
                <w:rFonts w:hint="eastAsia" w:ascii="宋体" w:hAnsi="宋体" w:cs="Arial"/>
                <w:szCs w:val="21"/>
              </w:rPr>
              <w:t>原</w:t>
            </w:r>
            <w:r>
              <w:rPr>
                <w:rFonts w:ascii="宋体" w:hAnsi="宋体" w:cs="Arial"/>
                <w:szCs w:val="21"/>
              </w:rPr>
              <w:t>件。</w:t>
            </w:r>
          </w:p>
          <w:p>
            <w:pPr>
              <w:spacing w:line="360" w:lineRule="auto"/>
              <w:rPr>
                <w:rFonts w:ascii="宋体" w:hAnsi="宋体" w:cs="Arial"/>
                <w:szCs w:val="21"/>
              </w:rPr>
            </w:pPr>
            <w:r>
              <w:rPr>
                <w:rFonts w:ascii="宋体" w:hAnsi="宋体" w:cs="Arial"/>
                <w:szCs w:val="21"/>
              </w:rPr>
              <w:t>其他可接受的</w:t>
            </w:r>
            <w:r>
              <w:rPr>
                <w:rFonts w:hint="eastAsia" w:ascii="宋体" w:hAnsi="宋体" w:cs="Arial"/>
                <w:szCs w:val="21"/>
              </w:rPr>
              <w:t>生产厂商</w:t>
            </w:r>
            <w:r>
              <w:rPr>
                <w:rFonts w:ascii="宋体" w:hAnsi="宋体" w:cs="Arial"/>
                <w:szCs w:val="21"/>
              </w:rPr>
              <w:t>授权形式</w:t>
            </w:r>
            <w:r>
              <w:rPr>
                <w:rFonts w:hint="eastAsia" w:ascii="宋体" w:hAnsi="宋体" w:cs="Arial"/>
                <w:szCs w:val="21"/>
              </w:rPr>
              <w:t>：</w:t>
            </w:r>
            <w:r>
              <w:rPr>
                <w:rFonts w:ascii="宋体" w:hAnsi="宋体" w:cs="Arial"/>
                <w:szCs w:val="21"/>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ascii="宋体" w:hAnsi="宋体"/>
                <w:b/>
                <w:szCs w:val="21"/>
              </w:rPr>
            </w:pPr>
            <w:r>
              <w:rPr>
                <w:rFonts w:hint="eastAsia" w:ascii="宋体" w:hAnsi="宋体"/>
                <w:b/>
                <w:szCs w:val="21"/>
              </w:rPr>
              <w:t>投标保证金：  0   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w:t>
            </w:r>
            <w:r>
              <w:t>1</w:t>
            </w:r>
            <w:r>
              <w:rPr>
                <w:rFonts w:hint="eastAsia"/>
              </w:rPr>
              <w:t>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w:t>
            </w:r>
            <w:r>
              <w:rPr>
                <w:rFonts w:hint="eastAsia"/>
                <w:highlight w:val="yellow"/>
              </w:rPr>
              <w:t>当</w:t>
            </w:r>
            <w:r>
              <w:rPr>
                <w:highlight w:val="yellow"/>
              </w:rPr>
              <w:t>电子文件与纸质文件内容不符时，</w:t>
            </w:r>
            <w:r>
              <w:rPr>
                <w:b/>
                <w:bCs/>
                <w:highlight w:val="yellow"/>
              </w:rPr>
              <w:t>以</w:t>
            </w:r>
            <w:r>
              <w:rPr>
                <w:rFonts w:hint="eastAsia"/>
                <w:b/>
                <w:bCs/>
                <w:highlight w:val="yellow"/>
              </w:rPr>
              <w:t>线上上传的电子版</w:t>
            </w:r>
            <w:r>
              <w:rPr>
                <w:b/>
                <w:bCs/>
                <w:highlight w:val="yellow"/>
              </w:rPr>
              <w:t>为准</w:t>
            </w:r>
            <w:r>
              <w:rPr>
                <w:rFonts w:hint="eastAsia"/>
                <w:highlight w:val="yellow"/>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hint="eastAsia" w:ascii="宋体" w:hAnsi="宋体"/>
                <w:b/>
                <w:bCs/>
                <w:szCs w:val="21"/>
              </w:rPr>
            </w:pPr>
            <w:r>
              <w:rPr>
                <w:rFonts w:hint="eastAsia" w:ascii="宋体" w:hAnsi="宋体"/>
                <w:b/>
                <w:bCs/>
                <w:szCs w:val="21"/>
              </w:rPr>
              <w:t>投标截止期：以招标公告时间为准（（北京时间）</w:t>
            </w:r>
          </w:p>
          <w:p>
            <w:pPr>
              <w:spacing w:line="360" w:lineRule="auto"/>
              <w:rPr>
                <w:rFonts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ascii="宋体" w:hAnsi="宋体"/>
                <w:b/>
                <w:bCs/>
                <w:szCs w:val="21"/>
                <w:u w:val="single"/>
              </w:rPr>
            </w:pPr>
            <w:r>
              <w:rPr>
                <w:rFonts w:hint="eastAsia" w:ascii="宋体" w:hAnsi="宋体"/>
                <w:b/>
                <w:bCs/>
                <w:szCs w:val="21"/>
              </w:rPr>
              <w:t>开标时间：以具体通知时间为准（北京时间）</w:t>
            </w:r>
          </w:p>
          <w:p>
            <w:pPr>
              <w:spacing w:line="360" w:lineRule="auto"/>
              <w:rPr>
                <w:rFonts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评标方法：22.2（2）综合评分法（适用）</w:t>
            </w:r>
          </w:p>
          <w:p>
            <w:pPr>
              <w:spacing w:line="360" w:lineRule="auto"/>
              <w:ind w:firstLine="1050" w:firstLineChars="500"/>
              <w:rPr>
                <w:rFonts w:ascii="宋体" w:hAnsi="宋体"/>
                <w:szCs w:val="21"/>
              </w:rPr>
            </w:pPr>
            <w:r>
              <w:rPr>
                <w:rFonts w:hint="eastAsia" w:ascii="宋体" w:hAnsi="宋体"/>
                <w:szCs w:val="21"/>
              </w:rPr>
              <w:t>22.2（1）最低评标价法（不适用）</w:t>
            </w:r>
            <w:bookmarkStart w:id="541" w:name="_GoBack"/>
            <w:bookmarkEnd w:id="541"/>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rPr>
                <w:highlight w:val="yellow"/>
              </w:rPr>
            </w:pPr>
            <w:r>
              <w:rPr>
                <w:rFonts w:hint="eastAsia"/>
                <w:highlight w:val="yellow"/>
              </w:rPr>
              <w:t>本次由招标人在评审委员会推荐的排名中选择</w:t>
            </w:r>
            <w:r>
              <w:rPr>
                <w:rFonts w:hint="eastAsia"/>
                <w:highlight w:val="yellow"/>
                <w:u w:val="single"/>
              </w:rPr>
              <w:t xml:space="preserve">  1  </w:t>
            </w:r>
            <w:r>
              <w:rPr>
                <w:rFonts w:hint="eastAsia"/>
                <w:highlight w:val="yellow"/>
              </w:rPr>
              <w:t>家供应商，每家供应数量以实际订单为准。</w:t>
            </w:r>
          </w:p>
          <w:p>
            <w:pPr>
              <w:numPr>
                <w:ilvl w:val="0"/>
                <w:numId w:val="6"/>
              </w:numPr>
              <w:spacing w:line="360" w:lineRule="auto"/>
            </w:pPr>
            <w:r>
              <w:rPr>
                <w:rFonts w:hint="eastAsia"/>
              </w:rPr>
              <w:t>付款方式：参照合同。</w:t>
            </w:r>
          </w:p>
          <w:p>
            <w:pPr>
              <w:spacing w:line="360" w:lineRule="auto"/>
              <w:rPr>
                <w:highlight w:val="yellow"/>
              </w:rPr>
            </w:pPr>
            <w:r>
              <w:rPr>
                <w:rFonts w:hint="eastAsia"/>
                <w:highlight w:val="yellow"/>
              </w:rPr>
              <w:t>3、交货期：</w:t>
            </w:r>
            <w:r>
              <w:rPr>
                <w:rFonts w:hint="eastAsia" w:ascii="宋体" w:hAnsi="宋体" w:cs="宋体"/>
                <w:szCs w:val="21"/>
                <w:highlight w:val="yellow"/>
                <w:lang w:val="zh-CN" w:bidi="zh-CN"/>
              </w:rPr>
              <w:t>根据</w:t>
            </w:r>
            <w:r>
              <w:rPr>
                <w:rFonts w:hint="eastAsia" w:ascii="宋体" w:hAnsi="宋体" w:cs="宋体"/>
                <w:szCs w:val="21"/>
                <w:highlight w:val="yellow"/>
                <w:lang w:bidi="zh-CN"/>
              </w:rPr>
              <w:t>招标人单次</w:t>
            </w:r>
            <w:r>
              <w:rPr>
                <w:rFonts w:hint="eastAsia" w:ascii="宋体" w:hAnsi="宋体" w:cs="宋体"/>
                <w:szCs w:val="21"/>
                <w:highlight w:val="yellow"/>
                <w:lang w:val="zh-CN" w:bidi="zh-CN"/>
              </w:rPr>
              <w:t>订单要求</w:t>
            </w:r>
            <w:r>
              <w:rPr>
                <w:rFonts w:hint="eastAsia" w:ascii="宋体" w:hAnsi="宋体" w:cs="宋体"/>
                <w:szCs w:val="21"/>
                <w:highlight w:val="yellow"/>
                <w:lang w:bidi="zh-CN"/>
              </w:rPr>
              <w:t>的</w:t>
            </w:r>
            <w:r>
              <w:rPr>
                <w:rFonts w:hint="eastAsia" w:ascii="宋体" w:hAnsi="宋体" w:cs="宋体"/>
                <w:szCs w:val="21"/>
                <w:highlight w:val="yellow"/>
                <w:lang w:val="zh-CN" w:bidi="zh-CN"/>
              </w:rPr>
              <w:t>时间</w:t>
            </w:r>
            <w:r>
              <w:rPr>
                <w:rFonts w:hint="eastAsia" w:ascii="宋体" w:hAnsi="宋体" w:cs="宋体"/>
                <w:szCs w:val="21"/>
                <w:highlight w:val="yellow"/>
                <w:lang w:bidi="zh-CN"/>
              </w:rPr>
              <w:t>完成配送</w:t>
            </w:r>
            <w:r>
              <w:rPr>
                <w:rFonts w:hint="eastAsia"/>
                <w:highlight w:val="yellow"/>
              </w:rPr>
              <w:t>。</w:t>
            </w:r>
          </w:p>
          <w:p>
            <w:pPr>
              <w:spacing w:line="360" w:lineRule="auto"/>
              <w:rPr>
                <w:highlight w:val="yellow"/>
              </w:rPr>
            </w:pPr>
            <w:r>
              <w:rPr>
                <w:rFonts w:hint="eastAsia"/>
                <w:highlight w:val="yellow"/>
              </w:rPr>
              <w:t>4、</w:t>
            </w:r>
            <w:r>
              <w:rPr>
                <w:rFonts w:hint="eastAsia" w:ascii="宋体" w:hAnsi="宋体" w:cs="宋体"/>
                <w:szCs w:val="21"/>
                <w:highlight w:val="yellow"/>
                <w:lang w:bidi="zh-CN"/>
              </w:rPr>
              <w:t>服务期限：服务期一年（除签订合同中另有约定）。</w:t>
            </w:r>
          </w:p>
          <w:p>
            <w:pPr>
              <w:spacing w:line="360" w:lineRule="auto"/>
              <w:rPr>
                <w:highlight w:val="yellow"/>
              </w:rPr>
            </w:pPr>
            <w:r>
              <w:rPr>
                <w:rFonts w:hint="eastAsia"/>
                <w:highlight w:val="yellow"/>
              </w:rPr>
              <w:t>5、由中标单位负责配送、卸货。</w:t>
            </w:r>
          </w:p>
          <w:p>
            <w:pPr>
              <w:spacing w:line="360" w:lineRule="auto"/>
              <w:rPr>
                <w:highlight w:val="yellow"/>
              </w:rPr>
            </w:pPr>
            <w:r>
              <w:rPr>
                <w:rFonts w:hint="eastAsia"/>
              </w:rPr>
              <w:t>6、招标文件“第六章 货物需求一览表及技术要求”中</w:t>
            </w:r>
            <w:r>
              <w:rPr>
                <w:rFonts w:hint="eastAsia"/>
                <w:highlight w:val="yellow"/>
              </w:rPr>
              <w:t>“*必需”的条款为关键技术于参数要求（如有），*号条款必须满足，如不满足，其投标将被否决。</w:t>
            </w:r>
          </w:p>
          <w:p>
            <w:pPr>
              <w:spacing w:line="360" w:lineRule="auto"/>
            </w:pPr>
            <w:r>
              <w:rPr>
                <w:rFonts w:hint="eastAsia"/>
              </w:rPr>
              <w:t>7、</w:t>
            </w:r>
            <w:r>
              <w:rPr>
                <w:rFonts w:hint="eastAsia"/>
                <w:b/>
                <w:bCs/>
                <w:highlight w:val="yellow"/>
              </w:rPr>
              <w:t>文件递交提醒：请投标人准备（1）一正一副、电子投标文件一份在截止时间前密封送至扬州邗江工业园牧羊路15号，收件人：陈娟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rPr>
                <w:rFonts w:ascii="宋体" w:hAnsi="宋体"/>
                <w:b/>
                <w:szCs w:val="21"/>
              </w:rPr>
            </w:pPr>
            <w:r>
              <w:rPr>
                <w:rFonts w:hint="eastAsia" w:ascii="宋体" w:hAnsi="宋体"/>
                <w:b/>
                <w:szCs w:val="21"/>
              </w:rPr>
              <w:t>参加本次招标的投标人应不少于三家，且合格投标人少于三家时废标。</w:t>
            </w:r>
          </w:p>
          <w:p>
            <w:pPr>
              <w:adjustRightInd w:val="0"/>
              <w:snapToGrid w:val="0"/>
              <w:spacing w:line="360" w:lineRule="auto"/>
              <w:rPr>
                <w:rFonts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ascii="宋体" w:hAnsi="宋体"/>
                <w:bCs/>
                <w:szCs w:val="21"/>
              </w:rPr>
            </w:pPr>
            <w:r>
              <w:rPr>
                <w:rFonts w:hint="eastAsia" w:ascii="宋体" w:hAnsi="宋体"/>
                <w:bCs/>
                <w:szCs w:val="21"/>
              </w:rPr>
              <w:t>（四）不同供应商的响应文件相互混装；</w:t>
            </w:r>
          </w:p>
          <w:p>
            <w:pPr>
              <w:spacing w:line="360" w:lineRule="auto"/>
              <w:rPr>
                <w:rFonts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520356143"/>
      <w:bookmarkStart w:id="45" w:name="_Toc4167"/>
      <w:bookmarkStart w:id="46" w:name="_Toc77628941"/>
      <w:bookmarkStart w:id="47" w:name="_Toc77629021"/>
      <w:bookmarkStart w:id="48" w:name="_Toc29240257"/>
      <w:bookmarkStart w:id="49" w:name="_Toc77628607"/>
      <w:bookmarkStart w:id="50" w:name="_Toc216582805"/>
      <w:bookmarkStart w:id="51" w:name="_Toc233102492"/>
      <w:bookmarkStart w:id="52" w:name="_Toc152042305"/>
      <w:bookmarkStart w:id="53" w:name="_Toc179632546"/>
      <w:bookmarkStart w:id="54" w:name="_Toc144974497"/>
      <w:bookmarkStart w:id="55" w:name="_Toc152045529"/>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ascii="宋体" w:hAnsi="宋体"/>
          <w:sz w:val="21"/>
          <w:szCs w:val="21"/>
        </w:rPr>
      </w:pPr>
      <w:bookmarkStart w:id="56" w:name="_Toc468977703"/>
      <w:bookmarkStart w:id="57" w:name="_Toc468977532"/>
      <w:bookmarkStart w:id="58" w:name="_Toc520356144"/>
      <w:bookmarkStart w:id="59" w:name="_Toc468977618"/>
      <w:bookmarkStart w:id="60" w:name="_Toc29222761"/>
      <w:bookmarkStart w:id="61" w:name="_Toc478028212"/>
      <w:bookmarkStart w:id="62" w:name="_Toc29240258"/>
      <w:bookmarkStart w:id="63" w:name="_Toc478028053"/>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ascii="宋体" w:hAnsi="宋体"/>
          <w:szCs w:val="21"/>
        </w:rPr>
      </w:pPr>
      <w:r>
        <w:rPr>
          <w:rFonts w:hint="eastAsia" w:ascii="宋体" w:hAnsi="宋体"/>
          <w:szCs w:val="21"/>
        </w:rPr>
        <w:t>1.7.1提供虚假的资料。</w:t>
      </w:r>
    </w:p>
    <w:p>
      <w:pPr>
        <w:spacing w:line="360" w:lineRule="auto"/>
        <w:ind w:left="1050" w:leftChars="200" w:hanging="630" w:hangingChars="300"/>
        <w:rPr>
          <w:rFonts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ascii="宋体" w:hAnsi="宋体"/>
          <w:sz w:val="21"/>
          <w:szCs w:val="21"/>
        </w:rPr>
      </w:pPr>
      <w:bookmarkStart w:id="64" w:name="_Toc478028213"/>
      <w:bookmarkStart w:id="65" w:name="_Toc468977619"/>
      <w:bookmarkStart w:id="66" w:name="_Toc468977533"/>
      <w:bookmarkStart w:id="67" w:name="_Toc468977704"/>
      <w:bookmarkStart w:id="68" w:name="_Toc478028054"/>
      <w:bookmarkStart w:id="69" w:name="_Toc29240259"/>
      <w:bookmarkStart w:id="70" w:name="_Toc29222762"/>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ascii="宋体" w:hAnsi="宋体"/>
          <w:sz w:val="21"/>
          <w:szCs w:val="21"/>
        </w:rPr>
      </w:pPr>
      <w:bookmarkStart w:id="71" w:name="_Toc468977534"/>
      <w:bookmarkStart w:id="72" w:name="_Toc468977620"/>
      <w:bookmarkStart w:id="73" w:name="_Toc478028055"/>
      <w:bookmarkStart w:id="74" w:name="_Toc29240260"/>
      <w:bookmarkStart w:id="75" w:name="_Toc520356145"/>
      <w:bookmarkStart w:id="76" w:name="_Toc29222763"/>
      <w:bookmarkStart w:id="77" w:name="_Toc478028214"/>
      <w:bookmarkStart w:id="78" w:name="_Toc468977705"/>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ascii="宋体" w:hAnsi="宋体"/>
          <w:sz w:val="21"/>
          <w:szCs w:val="21"/>
        </w:rPr>
      </w:pPr>
      <w:bookmarkStart w:id="79" w:name="_Toc478028215"/>
      <w:bookmarkStart w:id="80" w:name="_Toc478028056"/>
      <w:bookmarkStart w:id="81" w:name="_Toc29222764"/>
      <w:bookmarkStart w:id="82" w:name="_Toc468977621"/>
      <w:bookmarkStart w:id="83" w:name="_Toc468977706"/>
      <w:bookmarkStart w:id="84" w:name="_Toc468977535"/>
      <w:bookmarkStart w:id="85" w:name="_Toc29240261"/>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28093"/>
      <w:bookmarkStart w:id="87" w:name="_Toc216582806"/>
      <w:bookmarkStart w:id="88" w:name="_Toc77628942"/>
      <w:bookmarkStart w:id="89" w:name="_Toc29240262"/>
      <w:bookmarkStart w:id="90" w:name="_Toc520356146"/>
      <w:bookmarkStart w:id="91" w:name="_Toc77629022"/>
      <w:bookmarkStart w:id="92" w:name="_Toc77628608"/>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ascii="宋体" w:hAnsi="宋体"/>
          <w:sz w:val="21"/>
          <w:szCs w:val="21"/>
        </w:rPr>
      </w:pPr>
      <w:bookmarkStart w:id="93" w:name="_Toc478028058"/>
      <w:bookmarkStart w:id="94" w:name="_Toc29222766"/>
      <w:bookmarkStart w:id="95" w:name="_Toc468977537"/>
      <w:bookmarkStart w:id="96" w:name="_Toc29240263"/>
      <w:bookmarkStart w:id="97" w:name="_Toc478028217"/>
      <w:bookmarkStart w:id="98" w:name="_Toc520356147"/>
      <w:bookmarkStart w:id="99" w:name="_Toc468977708"/>
      <w:bookmarkStart w:id="100" w:name="_Toc468977623"/>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ascii="宋体" w:hAnsi="宋体"/>
          <w:sz w:val="21"/>
          <w:szCs w:val="21"/>
        </w:rPr>
      </w:pPr>
      <w:bookmarkStart w:id="101" w:name="_Toc29240264"/>
      <w:bookmarkStart w:id="102" w:name="_Toc468977624"/>
      <w:bookmarkStart w:id="103" w:name="_Toc29222767"/>
      <w:bookmarkStart w:id="104" w:name="_Toc478028059"/>
      <w:bookmarkStart w:id="105" w:name="_Toc468977709"/>
      <w:bookmarkStart w:id="106" w:name="_Toc468977538"/>
      <w:bookmarkStart w:id="107" w:name="_Toc478028218"/>
      <w:bookmarkStart w:id="108" w:name="_Toc520356148"/>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ascii="宋体" w:hAnsi="宋体"/>
          <w:sz w:val="21"/>
          <w:szCs w:val="21"/>
        </w:rPr>
      </w:pPr>
      <w:bookmarkStart w:id="109" w:name="_Toc29222768"/>
      <w:bookmarkStart w:id="110" w:name="_Toc520356149"/>
      <w:bookmarkStart w:id="111" w:name="_Toc468977710"/>
      <w:bookmarkStart w:id="112" w:name="_Toc468977539"/>
      <w:bookmarkStart w:id="113" w:name="_Toc478028219"/>
      <w:bookmarkStart w:id="114" w:name="_Toc478028060"/>
      <w:bookmarkStart w:id="115" w:name="_Ref467378678"/>
      <w:bookmarkStart w:id="116" w:name="_Toc468977625"/>
      <w:bookmarkStart w:id="117" w:name="_Toc29240265"/>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216582807"/>
      <w:bookmarkStart w:id="120" w:name="_Toc520356150"/>
    </w:p>
    <w:p>
      <w:pPr>
        <w:spacing w:before="120" w:beforeLines="50" w:after="120" w:afterLines="50" w:line="360" w:lineRule="auto"/>
        <w:jc w:val="center"/>
        <w:outlineLvl w:val="1"/>
        <w:rPr>
          <w:b/>
          <w:bCs/>
          <w:szCs w:val="21"/>
        </w:rPr>
      </w:pPr>
      <w:bookmarkStart w:id="121" w:name="_Toc77628609"/>
      <w:bookmarkStart w:id="122" w:name="_Toc77629023"/>
      <w:bookmarkStart w:id="123" w:name="_Toc77628943"/>
      <w:bookmarkStart w:id="124" w:name="_Toc1422"/>
      <w:bookmarkStart w:id="125" w:name="_Toc29240266"/>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ascii="宋体" w:hAnsi="宋体"/>
          <w:sz w:val="21"/>
          <w:szCs w:val="21"/>
        </w:rPr>
      </w:pPr>
      <w:bookmarkStart w:id="126" w:name="_Toc29222770"/>
      <w:bookmarkStart w:id="127" w:name="_Toc29240267"/>
      <w:bookmarkStart w:id="128" w:name="_Toc478028062"/>
      <w:bookmarkStart w:id="129" w:name="_Toc516367021"/>
      <w:bookmarkStart w:id="130" w:name="_Toc468977712"/>
      <w:bookmarkStart w:id="131" w:name="_Toc478028221"/>
      <w:bookmarkStart w:id="132" w:name="_Toc468977627"/>
      <w:bookmarkStart w:id="133" w:name="_Toc468977541"/>
      <w:bookmarkStart w:id="134" w:name="_Toc520356151"/>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ascii="宋体" w:hAnsi="宋体"/>
          <w:sz w:val="21"/>
          <w:szCs w:val="21"/>
        </w:rPr>
      </w:pPr>
      <w:bookmarkStart w:id="135" w:name="_Ref467306676"/>
      <w:bookmarkStart w:id="136" w:name="_Toc516367022"/>
      <w:bookmarkStart w:id="137" w:name="_Ref467306195"/>
      <w:bookmarkStart w:id="138" w:name="_Toc29240268"/>
      <w:bookmarkStart w:id="139" w:name="_Toc520356152"/>
      <w:bookmarkStart w:id="140" w:name="_Toc478028063"/>
      <w:bookmarkStart w:id="141" w:name="_Toc468977542"/>
      <w:bookmarkStart w:id="142" w:name="_Toc478028222"/>
      <w:bookmarkStart w:id="143" w:name="_Toc29222771"/>
      <w:bookmarkStart w:id="144" w:name="_Toc468977628"/>
      <w:bookmarkStart w:id="145" w:name="_Toc468977713"/>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ascii="宋体" w:hAnsi="宋体"/>
          <w:sz w:val="21"/>
          <w:szCs w:val="21"/>
        </w:rPr>
      </w:pPr>
      <w:bookmarkStart w:id="147" w:name="_Toc468977543"/>
      <w:bookmarkStart w:id="148" w:name="_Toc29240269"/>
      <w:bookmarkStart w:id="149" w:name="_Toc516367023"/>
      <w:bookmarkStart w:id="150" w:name="_Toc29222772"/>
      <w:bookmarkStart w:id="151" w:name="_Toc468977629"/>
      <w:bookmarkStart w:id="152" w:name="_Toc478028064"/>
      <w:bookmarkStart w:id="153" w:name="_Toc478028223"/>
      <w:bookmarkStart w:id="154" w:name="_Toc468977714"/>
      <w:bookmarkStart w:id="155" w:name="_Toc520356153"/>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ascii="宋体" w:hAnsi="宋体"/>
          <w:sz w:val="21"/>
          <w:szCs w:val="21"/>
        </w:rPr>
      </w:pPr>
      <w:bookmarkStart w:id="157" w:name="_Toc520356155"/>
      <w:bookmarkStart w:id="158" w:name="_Toc29222773"/>
      <w:bookmarkStart w:id="159" w:name="_Toc29240270"/>
      <w:bookmarkStart w:id="160" w:name="_Toc468977715"/>
      <w:bookmarkStart w:id="161" w:name="_Toc478028224"/>
      <w:bookmarkStart w:id="162" w:name="_Toc478028065"/>
      <w:bookmarkStart w:id="163" w:name="_Toc468977544"/>
      <w:bookmarkStart w:id="164" w:name="_Toc468977630"/>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ascii="宋体" w:hAnsi="宋体"/>
          <w:sz w:val="21"/>
          <w:szCs w:val="21"/>
        </w:rPr>
      </w:pPr>
      <w:bookmarkStart w:id="165" w:name="_Toc468977631"/>
      <w:bookmarkStart w:id="166" w:name="_Toc29240271"/>
      <w:bookmarkStart w:id="167" w:name="_Toc478028225"/>
      <w:bookmarkStart w:id="168" w:name="_Toc29222774"/>
      <w:bookmarkStart w:id="169" w:name="_Toc468977545"/>
      <w:bookmarkStart w:id="170" w:name="_Ref467306513"/>
      <w:bookmarkStart w:id="171" w:name="_Toc520356156"/>
      <w:bookmarkStart w:id="172" w:name="_Toc468977716"/>
      <w:bookmarkStart w:id="173" w:name="_Toc478028066"/>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Ansi="宋体"/>
          <w:szCs w:val="21"/>
        </w:rPr>
      </w:pPr>
      <w:r>
        <w:rPr>
          <w:rFonts w:hint="eastAsia" w:hAnsi="宋体"/>
          <w:szCs w:val="21"/>
        </w:rPr>
        <w:t>（4）中标人不按本须知第31条的规定缴纳中标服务费。</w:t>
      </w:r>
    </w:p>
    <w:p>
      <w:pPr>
        <w:spacing w:line="360" w:lineRule="auto"/>
        <w:ind w:left="420" w:hanging="420" w:hangingChars="200"/>
        <w:rPr>
          <w:rFonts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ascii="宋体" w:hAnsi="宋体"/>
          <w:sz w:val="21"/>
          <w:szCs w:val="21"/>
        </w:rPr>
      </w:pPr>
      <w:bookmarkStart w:id="176" w:name="_Toc520356157"/>
      <w:bookmarkStart w:id="177" w:name="_Toc468977632"/>
      <w:bookmarkStart w:id="178" w:name="_Toc29240272"/>
      <w:bookmarkStart w:id="179" w:name="_Toc478028067"/>
      <w:bookmarkStart w:id="180" w:name="_Toc468977546"/>
      <w:bookmarkStart w:id="181" w:name="_Toc29222775"/>
      <w:bookmarkStart w:id="182" w:name="_Toc478028226"/>
      <w:bookmarkStart w:id="183" w:name="_Toc468977717"/>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ascii="宋体" w:hAnsi="宋体"/>
          <w:szCs w:val="21"/>
        </w:rPr>
      </w:pPr>
      <w:r>
        <w:rPr>
          <w:rFonts w:hint="eastAsia" w:ascii="宋体" w:hAnsi="宋体"/>
          <w:szCs w:val="21"/>
        </w:rPr>
        <w:t>13.1投标应在规定的截止日后，按照投标人须知前附表中规定时间内保持有效，投标有效期不满足要求的投标将被视为无效投标被拒绝。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ascii="宋体" w:hAnsi="宋体"/>
          <w:sz w:val="21"/>
          <w:szCs w:val="21"/>
        </w:rPr>
      </w:pPr>
      <w:bookmarkStart w:id="184" w:name="_Toc520356158"/>
      <w:bookmarkStart w:id="185" w:name="_Toc29240273"/>
      <w:bookmarkStart w:id="186" w:name="_Toc29222776"/>
      <w:bookmarkStart w:id="187" w:name="_Toc468977718"/>
      <w:bookmarkStart w:id="188" w:name="_Toc478028068"/>
      <w:bookmarkStart w:id="189" w:name="_Toc478028227"/>
      <w:bookmarkStart w:id="190" w:name="_Toc468977633"/>
      <w:bookmarkStart w:id="191" w:name="_Toc468977547"/>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520356159"/>
      <w:bookmarkStart w:id="193" w:name="_Toc216582808"/>
      <w:bookmarkStart w:id="194" w:name="_Toc10734"/>
      <w:bookmarkStart w:id="195" w:name="_Toc77628610"/>
      <w:bookmarkStart w:id="196" w:name="_Toc77628944"/>
      <w:bookmarkStart w:id="197" w:name="_Toc77629024"/>
      <w:bookmarkStart w:id="198" w:name="_Toc29240274"/>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ascii="宋体" w:hAnsi="宋体"/>
          <w:sz w:val="21"/>
          <w:szCs w:val="21"/>
        </w:rPr>
      </w:pPr>
      <w:bookmarkStart w:id="199" w:name="_Toc29222778"/>
      <w:bookmarkStart w:id="200" w:name="_Toc468977635"/>
      <w:bookmarkStart w:id="201" w:name="_Toc478028229"/>
      <w:bookmarkStart w:id="202" w:name="_Toc29240275"/>
      <w:bookmarkStart w:id="203" w:name="_Toc468977720"/>
      <w:bookmarkStart w:id="204" w:name="_Toc520356160"/>
      <w:bookmarkStart w:id="205" w:name="_Toc468977549"/>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ascii="宋体" w:hAnsi="宋体"/>
          <w:szCs w:val="21"/>
        </w:rPr>
      </w:pPr>
      <w:r>
        <w:rPr>
          <w:rFonts w:hint="eastAsia" w:ascii="宋体" w:hAnsi="宋体"/>
          <w:szCs w:val="21"/>
        </w:rPr>
        <w:t>15.3所有包装封皮和信封上均应：</w:t>
      </w:r>
    </w:p>
    <w:p>
      <w:pPr>
        <w:spacing w:line="360" w:lineRule="auto"/>
        <w:ind w:firstLine="420" w:firstLineChars="200"/>
        <w:rPr>
          <w:rFonts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ascii="宋体" w:hAnsi="宋体"/>
          <w:sz w:val="21"/>
          <w:szCs w:val="21"/>
        </w:rPr>
      </w:pPr>
      <w:bookmarkStart w:id="206" w:name="_Toc29240276"/>
      <w:bookmarkStart w:id="207" w:name="_Toc468977550"/>
      <w:bookmarkStart w:id="208" w:name="_Toc29222779"/>
      <w:bookmarkStart w:id="209" w:name="_Toc520356161"/>
      <w:bookmarkStart w:id="210" w:name="_Toc468977636"/>
      <w:bookmarkStart w:id="211" w:name="_Toc478028230"/>
      <w:bookmarkStart w:id="212" w:name="_Toc468977721"/>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ascii="宋体" w:hAnsi="宋体"/>
          <w:sz w:val="21"/>
          <w:szCs w:val="21"/>
        </w:rPr>
      </w:pPr>
      <w:bookmarkStart w:id="213" w:name="_Toc468977637"/>
      <w:bookmarkStart w:id="214" w:name="_Toc468977551"/>
      <w:bookmarkStart w:id="215" w:name="_Toc29240277"/>
      <w:bookmarkStart w:id="216" w:name="_Toc520356162"/>
      <w:bookmarkStart w:id="217" w:name="_Toc478028231"/>
      <w:bookmarkStart w:id="218" w:name="_Toc468977722"/>
      <w:bookmarkStart w:id="219" w:name="_Toc29222780"/>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77629025"/>
      <w:bookmarkStart w:id="221" w:name="_Toc29240278"/>
      <w:bookmarkStart w:id="222" w:name="_Toc216582809"/>
      <w:bookmarkStart w:id="223" w:name="_Toc77628611"/>
      <w:bookmarkStart w:id="224" w:name="_Toc77628945"/>
      <w:bookmarkStart w:id="225" w:name="_Toc520356163"/>
      <w:bookmarkStart w:id="226" w:name="_Toc17414"/>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ascii="宋体" w:hAnsi="宋体"/>
          <w:sz w:val="21"/>
          <w:szCs w:val="21"/>
        </w:rPr>
      </w:pPr>
      <w:bookmarkStart w:id="227" w:name="_Toc520356164"/>
      <w:bookmarkStart w:id="228" w:name="_Toc468977724"/>
      <w:bookmarkStart w:id="229" w:name="_Toc468977639"/>
      <w:bookmarkStart w:id="230" w:name="_Toc29222782"/>
      <w:bookmarkStart w:id="231" w:name="_Toc468977553"/>
      <w:bookmarkStart w:id="232" w:name="_Toc29240279"/>
      <w:bookmarkStart w:id="233" w:name="_Toc478028233"/>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ascii="宋体" w:hAnsi="宋体"/>
          <w:szCs w:val="21"/>
        </w:rPr>
      </w:pPr>
      <w:r>
        <w:rPr>
          <w:rFonts w:hint="eastAsia" w:ascii="宋体" w:hAnsi="宋体"/>
          <w:szCs w:val="21"/>
        </w:rPr>
        <w:t>18.1将按通知的开标时间和地点组织开标，所有投标人代表均有权参加。</w:t>
      </w:r>
    </w:p>
    <w:p>
      <w:pPr>
        <w:tabs>
          <w:tab w:val="left" w:pos="0"/>
        </w:tabs>
        <w:spacing w:line="360" w:lineRule="auto"/>
        <w:ind w:left="420" w:hanging="420" w:hangingChars="200"/>
        <w:rPr>
          <w:rFonts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ascii="宋体" w:hAnsi="宋体"/>
          <w:sz w:val="21"/>
          <w:szCs w:val="21"/>
        </w:rPr>
      </w:pPr>
      <w:bookmarkStart w:id="235" w:name="_Toc468977554"/>
      <w:bookmarkStart w:id="236" w:name="_Toc29222783"/>
      <w:bookmarkStart w:id="237" w:name="_Toc468977725"/>
      <w:bookmarkStart w:id="238" w:name="_Toc468977640"/>
      <w:bookmarkStart w:id="239" w:name="_Toc478028234"/>
      <w:bookmarkStart w:id="240" w:name="_Toc29240280"/>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ascii="宋体" w:hAnsi="宋体"/>
          <w:szCs w:val="21"/>
        </w:rPr>
      </w:pPr>
      <w:r>
        <w:rPr>
          <w:rFonts w:hint="eastAsia" w:ascii="宋体" w:hAnsi="宋体"/>
          <w:szCs w:val="21"/>
        </w:rPr>
        <w:t>评标委员会根据招标采购产品的特点，按照公司招议标管理规定的有关要求组建，并负责评标工作。</w:t>
      </w:r>
      <w:bookmarkStart w:id="241" w:name="_Toc520356166"/>
    </w:p>
    <w:p>
      <w:pPr>
        <w:pStyle w:val="5"/>
        <w:spacing w:before="0" w:after="0" w:line="360" w:lineRule="auto"/>
        <w:rPr>
          <w:rFonts w:ascii="宋体" w:hAnsi="宋体"/>
          <w:b w:val="0"/>
          <w:bCs w:val="0"/>
          <w:sz w:val="21"/>
          <w:szCs w:val="21"/>
          <w:bdr w:val="single" w:color="auto" w:sz="4" w:space="0"/>
        </w:rPr>
      </w:pPr>
      <w:bookmarkStart w:id="242" w:name="_Toc468977726"/>
      <w:bookmarkStart w:id="243" w:name="_Toc468977641"/>
      <w:bookmarkStart w:id="244" w:name="_Toc468977555"/>
      <w:bookmarkStart w:id="245" w:name="_Toc29222784"/>
      <w:bookmarkStart w:id="246" w:name="_Toc29240281"/>
      <w:bookmarkStart w:id="247" w:name="_Toc478028235"/>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ascii="宋体" w:hAnsi="宋体"/>
          <w:szCs w:val="21"/>
        </w:rPr>
      </w:pPr>
      <w:r>
        <w:rPr>
          <w:rFonts w:hint="eastAsia" w:ascii="宋体" w:hAnsi="宋体"/>
          <w:szCs w:val="21"/>
        </w:rPr>
        <w:t>20.2投标文件的澄清</w:t>
      </w:r>
    </w:p>
    <w:p>
      <w:pPr>
        <w:spacing w:line="360" w:lineRule="auto"/>
        <w:ind w:left="1050" w:leftChars="200" w:hanging="630" w:hangingChars="300"/>
        <w:rPr>
          <w:rFonts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ascii="宋体" w:hAnsi="宋体"/>
          <w:sz w:val="21"/>
          <w:szCs w:val="21"/>
        </w:rPr>
      </w:pPr>
      <w:bookmarkStart w:id="250" w:name="_Toc468977642"/>
      <w:bookmarkStart w:id="251" w:name="_Toc468977727"/>
      <w:bookmarkStart w:id="252" w:name="_Toc29240282"/>
      <w:bookmarkStart w:id="253" w:name="_Toc29222785"/>
      <w:bookmarkStart w:id="254" w:name="_Toc468977556"/>
      <w:bookmarkStart w:id="255" w:name="_Toc478028236"/>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ascii="宋体" w:hAnsi="宋体"/>
          <w:sz w:val="21"/>
          <w:szCs w:val="21"/>
        </w:rPr>
      </w:pPr>
      <w:bookmarkStart w:id="256" w:name="_Toc468977557"/>
      <w:bookmarkStart w:id="257" w:name="_Toc468977643"/>
      <w:bookmarkStart w:id="258" w:name="_Toc468977728"/>
      <w:bookmarkStart w:id="259" w:name="_Toc29240283"/>
      <w:bookmarkStart w:id="260" w:name="_Toc478028237"/>
      <w:bookmarkStart w:id="261" w:name="_Toc29222786"/>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ascii="宋体" w:hAnsi="宋体"/>
          <w:sz w:val="21"/>
          <w:szCs w:val="21"/>
        </w:rPr>
      </w:pPr>
      <w:bookmarkStart w:id="262" w:name="_Toc468977729"/>
      <w:bookmarkStart w:id="263" w:name="_Toc468977644"/>
      <w:bookmarkStart w:id="264" w:name="_Toc468977558"/>
      <w:bookmarkStart w:id="265" w:name="_Toc478028238"/>
      <w:bookmarkStart w:id="266" w:name="_Toc29222787"/>
      <w:bookmarkStart w:id="267" w:name="_Toc29240284"/>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ascii="宋体" w:hAnsi="宋体"/>
          <w:szCs w:val="21"/>
        </w:rPr>
      </w:pPr>
      <w:r>
        <w:rPr>
          <w:rFonts w:hint="eastAsia" w:ascii="宋体" w:hAnsi="宋体"/>
          <w:szCs w:val="21"/>
        </w:rPr>
        <w:t>23.1评标将在严格保密的情况下进行。</w:t>
      </w:r>
    </w:p>
    <w:p>
      <w:pPr>
        <w:spacing w:line="360" w:lineRule="auto"/>
        <w:ind w:left="420" w:hanging="420" w:hangingChars="200"/>
        <w:rPr>
          <w:rFonts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77628612"/>
      <w:bookmarkStart w:id="270" w:name="_Toc216582810"/>
      <w:bookmarkStart w:id="271" w:name="_Toc16391"/>
      <w:bookmarkStart w:id="272" w:name="_Toc77628946"/>
      <w:bookmarkStart w:id="273" w:name="_Toc29240285"/>
      <w:bookmarkStart w:id="274" w:name="_Toc77629026"/>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ascii="宋体" w:hAnsi="宋体"/>
          <w:sz w:val="21"/>
          <w:szCs w:val="21"/>
        </w:rPr>
      </w:pPr>
      <w:bookmarkStart w:id="275" w:name="_Toc468977560"/>
      <w:bookmarkStart w:id="276" w:name="_Toc29240286"/>
      <w:bookmarkStart w:id="277" w:name="_Toc520356170"/>
      <w:bookmarkStart w:id="278" w:name="_Ref467307010"/>
      <w:bookmarkStart w:id="279" w:name="_Toc468977731"/>
      <w:bookmarkStart w:id="280" w:name="_Toc468977646"/>
      <w:bookmarkStart w:id="281" w:name="_Toc478028240"/>
      <w:bookmarkStart w:id="282" w:name="_Toc29222789"/>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ascii="宋体" w:hAnsi="宋体"/>
          <w:sz w:val="21"/>
          <w:szCs w:val="21"/>
        </w:rPr>
      </w:pPr>
      <w:bookmarkStart w:id="283" w:name="_Toc520356171"/>
      <w:bookmarkStart w:id="284" w:name="_Toc468977647"/>
      <w:bookmarkStart w:id="285" w:name="_Toc478028241"/>
      <w:bookmarkStart w:id="286" w:name="_Toc468977561"/>
      <w:bookmarkStart w:id="287" w:name="_Toc29222790"/>
      <w:bookmarkStart w:id="288" w:name="_Toc468977732"/>
      <w:bookmarkStart w:id="289" w:name="_Toc29240287"/>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ascii="宋体" w:hAnsi="宋体"/>
          <w:sz w:val="21"/>
          <w:szCs w:val="21"/>
        </w:rPr>
      </w:pPr>
      <w:bookmarkStart w:id="290" w:name="_Ref467306874"/>
      <w:bookmarkStart w:id="291" w:name="_Toc520356173"/>
      <w:bookmarkStart w:id="292" w:name="_Toc478028242"/>
      <w:bookmarkStart w:id="293" w:name="_Toc29240288"/>
      <w:bookmarkStart w:id="294" w:name="_Toc468977733"/>
      <w:bookmarkStart w:id="295" w:name="_Toc468977648"/>
      <w:bookmarkStart w:id="296" w:name="_Toc468977562"/>
      <w:bookmarkStart w:id="297" w:name="_Toc29222791"/>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ascii="宋体" w:hAnsi="宋体"/>
          <w:sz w:val="21"/>
          <w:szCs w:val="21"/>
        </w:rPr>
      </w:pPr>
      <w:bookmarkStart w:id="299" w:name="_Toc29240289"/>
      <w:bookmarkStart w:id="300" w:name="_Toc478028243"/>
      <w:bookmarkStart w:id="301" w:name="_Toc468977649"/>
      <w:bookmarkStart w:id="302" w:name="_Toc468977734"/>
      <w:bookmarkStart w:id="303" w:name="_Toc29222792"/>
      <w:bookmarkStart w:id="304" w:name="_Toc468977563"/>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ascii="宋体" w:hAnsi="宋体"/>
          <w:szCs w:val="21"/>
        </w:rPr>
      </w:pPr>
      <w:r>
        <w:rPr>
          <w:rFonts w:hint="eastAsia" w:ascii="宋体" w:hAnsi="宋体"/>
          <w:szCs w:val="21"/>
        </w:rPr>
        <w:t>28.2中标通知书是合同的组成部分。</w:t>
      </w:r>
    </w:p>
    <w:p>
      <w:pPr>
        <w:pStyle w:val="5"/>
        <w:spacing w:before="0" w:after="0" w:line="360" w:lineRule="auto"/>
        <w:rPr>
          <w:rFonts w:ascii="宋体" w:hAnsi="宋体"/>
          <w:sz w:val="21"/>
          <w:szCs w:val="21"/>
        </w:rPr>
      </w:pPr>
      <w:bookmarkStart w:id="305" w:name="_Toc468977650"/>
      <w:bookmarkStart w:id="306" w:name="_Toc520356175"/>
      <w:bookmarkStart w:id="307" w:name="_Ref467306978"/>
      <w:bookmarkStart w:id="308" w:name="_Toc468977564"/>
      <w:bookmarkStart w:id="309" w:name="_Toc29240290"/>
      <w:bookmarkStart w:id="310" w:name="_Ref467307062"/>
      <w:bookmarkStart w:id="311" w:name="_Ref467307204"/>
      <w:bookmarkStart w:id="312" w:name="_Toc468977735"/>
      <w:bookmarkStart w:id="313" w:name="_Toc478028244"/>
      <w:bookmarkStart w:id="314" w:name="_Toc29222793"/>
      <w:bookmarkStart w:id="315" w:name="_Ref467306377"/>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ascii="宋体" w:hAnsi="宋体"/>
          <w:szCs w:val="21"/>
        </w:rPr>
      </w:pPr>
      <w:r>
        <w:rPr>
          <w:rFonts w:hint="eastAsia" w:ascii="宋体" w:hAnsi="宋体"/>
          <w:szCs w:val="21"/>
        </w:rPr>
        <w:t>29.1中标人应当自发出中标通知书尽快与招标人签订合同。</w:t>
      </w:r>
    </w:p>
    <w:p>
      <w:pPr>
        <w:spacing w:line="360" w:lineRule="auto"/>
        <w:ind w:left="420" w:hanging="420" w:hangingChars="200"/>
        <w:rPr>
          <w:rFonts w:ascii="宋体" w:hAnsi="宋体"/>
          <w:szCs w:val="21"/>
        </w:rPr>
      </w:pPr>
      <w:r>
        <w:rPr>
          <w:rFonts w:hint="eastAsia" w:ascii="宋体" w:hAnsi="宋体"/>
          <w:szCs w:val="21"/>
        </w:rPr>
        <w:t>29.2</w:t>
      </w:r>
      <w:bookmarkStart w:id="316" w:name="_Ref467306425"/>
      <w:bookmarkStart w:id="317" w:name="_Ref467307090"/>
      <w:bookmarkStart w:id="318" w:name="_Toc520356176"/>
      <w:r>
        <w:rPr>
          <w:rFonts w:hint="eastAsia" w:ascii="宋体" w:hAnsi="宋体"/>
          <w:szCs w:val="21"/>
        </w:rPr>
        <w:t>招标文件、中标人的投标文件及其澄清文件等，均为签订合同的依据。</w:t>
      </w:r>
    </w:p>
    <w:p>
      <w:pPr>
        <w:spacing w:line="360" w:lineRule="auto"/>
        <w:ind w:left="420" w:hanging="420" w:hangingChars="200"/>
        <w:rPr>
          <w:rFonts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ascii="宋体" w:hAnsi="宋体"/>
          <w:sz w:val="21"/>
          <w:szCs w:val="21"/>
        </w:rPr>
      </w:pPr>
      <w:bookmarkStart w:id="319" w:name="_Toc29222794"/>
      <w:bookmarkStart w:id="320" w:name="_Toc29240291"/>
      <w:bookmarkStart w:id="321" w:name="_Toc478028245"/>
      <w:bookmarkStart w:id="322" w:name="_Toc468977651"/>
      <w:bookmarkStart w:id="323" w:name="_Toc468977736"/>
      <w:bookmarkStart w:id="324" w:name="_Toc468977565"/>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ascii="宋体" w:hAnsi="宋体"/>
          <w:sz w:val="21"/>
          <w:szCs w:val="21"/>
        </w:rPr>
      </w:pPr>
      <w:bookmarkStart w:id="325" w:name="_Toc29240293"/>
      <w:bookmarkStart w:id="326" w:name="_Toc468977567"/>
      <w:bookmarkStart w:id="327" w:name="_Toc468977653"/>
      <w:bookmarkStart w:id="328" w:name="_Toc478028247"/>
      <w:bookmarkStart w:id="329" w:name="_Toc468977738"/>
      <w:bookmarkStart w:id="330" w:name="_Toc29222796"/>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ascii="宋体" w:hAnsi="宋体"/>
          <w:szCs w:val="21"/>
        </w:rPr>
      </w:pPr>
      <w:r>
        <w:rPr>
          <w:rFonts w:hint="eastAsia" w:ascii="宋体" w:hAnsi="宋体"/>
          <w:szCs w:val="21"/>
        </w:rPr>
        <w:t>31.1招标</w:t>
      </w:r>
      <w:r>
        <w:rPr>
          <w:rFonts w:ascii="宋体" w:hAnsi="宋体"/>
          <w:szCs w:val="21"/>
        </w:rPr>
        <w:t>工作人员</w:t>
      </w:r>
      <w:r>
        <w:rPr>
          <w:rFonts w:hint="eastAsia" w:ascii="宋体" w:hAnsi="宋体"/>
          <w:szCs w:val="21"/>
        </w:rPr>
        <w:t>不得以不正当手段获取代理业务，不得与招标人、投标人恶意串通操纵采购活动。</w:t>
      </w:r>
    </w:p>
    <w:p>
      <w:pPr>
        <w:spacing w:line="360" w:lineRule="auto"/>
        <w:ind w:left="420" w:hanging="420" w:hangingChars="200"/>
        <w:rPr>
          <w:rFonts w:ascii="宋体" w:hAnsi="宋体"/>
          <w:szCs w:val="21"/>
        </w:rPr>
      </w:pPr>
      <w:r>
        <w:rPr>
          <w:rFonts w:ascii="宋体" w:hAnsi="宋体"/>
          <w:szCs w:val="21"/>
        </w:rPr>
        <w:t>3</w:t>
      </w:r>
      <w:r>
        <w:rPr>
          <w:rFonts w:hint="eastAsia" w:ascii="宋体" w:hAnsi="宋体"/>
          <w:szCs w:val="21"/>
        </w:rPr>
        <w:t>1</w:t>
      </w:r>
      <w:r>
        <w:rPr>
          <w:rFonts w:ascii="宋体" w:hAnsi="宋体"/>
          <w:szCs w:val="21"/>
        </w:rPr>
        <w:t>.2</w:t>
      </w:r>
      <w:r>
        <w:rPr>
          <w:rFonts w:hint="eastAsia" w:ascii="宋体" w:hAnsi="宋体"/>
          <w:szCs w:val="21"/>
        </w:rPr>
        <w:t>招标工作人员不得接受招标人或者投标人组织的宴请、旅游、娱乐，不得收受礼品、现金、有价证券等，不得向招标人或者投标人报销应当由个人承担的费用。</w:t>
      </w:r>
    </w:p>
    <w:p>
      <w:pPr>
        <w:pStyle w:val="5"/>
        <w:spacing w:before="0" w:after="0" w:line="360" w:lineRule="auto"/>
        <w:rPr>
          <w:rFonts w:ascii="宋体" w:hAnsi="宋体"/>
          <w:sz w:val="21"/>
          <w:szCs w:val="21"/>
        </w:rPr>
      </w:pPr>
      <w:bookmarkStart w:id="331" w:name="_Toc468977654"/>
      <w:bookmarkStart w:id="332" w:name="_Toc468977568"/>
      <w:bookmarkStart w:id="333" w:name="_Toc478028248"/>
      <w:bookmarkStart w:id="334" w:name="_Toc468977739"/>
      <w:bookmarkStart w:id="335" w:name="_Toc29222797"/>
      <w:bookmarkStart w:id="336" w:name="_Toc29240294"/>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37" w:name="_Toc77628613"/>
      <w:bookmarkStart w:id="338" w:name="_Toc77628947"/>
      <w:bookmarkStart w:id="339" w:name="_Toc29240295"/>
      <w:bookmarkStart w:id="340" w:name="_Toc3414"/>
      <w:bookmarkStart w:id="341" w:name="_Toc77629027"/>
      <w:r>
        <w:rPr>
          <w:rFonts w:hint="eastAsia" w:ascii="宋体" w:hAnsi="宋体"/>
          <w:b/>
          <w:bCs/>
          <w:sz w:val="24"/>
        </w:rPr>
        <w:t>第三章 合同条款</w:t>
      </w:r>
      <w:bookmarkEnd w:id="337"/>
      <w:bookmarkEnd w:id="338"/>
      <w:bookmarkEnd w:id="339"/>
      <w:bookmarkEnd w:id="340"/>
      <w:bookmarkEnd w:id="341"/>
    </w:p>
    <w:p>
      <w:pPr>
        <w:jc w:val="center"/>
        <w:rPr>
          <w:rFonts w:ascii="仿宋" w:hAnsi="仿宋" w:eastAsia="仿宋" w:cs="仿宋"/>
          <w:sz w:val="32"/>
          <w:szCs w:val="32"/>
        </w:rPr>
      </w:pPr>
      <w:bookmarkStart w:id="342" w:name="_Toc77629031"/>
      <w:bookmarkStart w:id="343" w:name="_Toc415222523"/>
      <w:bookmarkStart w:id="344" w:name="_Toc77628777"/>
      <w:bookmarkStart w:id="345" w:name="_Toc77628617"/>
      <w:bookmarkStart w:id="346" w:name="_Toc77628951"/>
      <w:bookmarkStart w:id="347" w:name="_Toc29240296"/>
      <w:r>
        <w:rPr>
          <w:rFonts w:hint="eastAsia" w:ascii="仿宋" w:hAnsi="仿宋" w:eastAsia="仿宋" w:cs="仿宋"/>
          <w:b/>
          <w:sz w:val="32"/>
          <w:szCs w:val="32"/>
        </w:rPr>
        <w:t xml:space="preserve"> 合 同 模 板</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编号：                                            合同订立时间：</w:t>
      </w:r>
    </w:p>
    <w:p>
      <w:pPr>
        <w:spacing w:line="440" w:lineRule="exact"/>
        <w:jc w:val="center"/>
        <w:rPr>
          <w:rFonts w:asciiTheme="minorEastAsia" w:hAnsiTheme="minorEastAsia" w:eastAsiaTheme="minorEastAsia" w:cstheme="minorEastAsia"/>
          <w:szCs w:val="21"/>
        </w:rPr>
      </w:pPr>
    </w:p>
    <w:p>
      <w:pPr>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bCs/>
          <w:szCs w:val="21"/>
        </w:rPr>
        <w:t xml:space="preserve">        </w:t>
      </w:r>
    </w:p>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乙方： </w:t>
      </w:r>
    </w:p>
    <w:p>
      <w:pPr>
        <w:spacing w:line="440" w:lineRule="exact"/>
        <w:rPr>
          <w:rFonts w:asciiTheme="minorEastAsia" w:hAnsiTheme="minorEastAsia" w:eastAsiaTheme="minorEastAsia" w:cstheme="minorEastAsia"/>
          <w:szCs w:val="21"/>
        </w:rPr>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经甲乙双方友好协商，由乙方承揽甲方</w:t>
      </w:r>
      <w:r>
        <w:rPr>
          <w:rFonts w:hint="eastAsia" w:asciiTheme="minorEastAsia" w:hAnsiTheme="minorEastAsia" w:eastAsiaTheme="minorEastAsia" w:cstheme="minorEastAsia"/>
          <w:szCs w:val="21"/>
          <w:u w:val="single"/>
        </w:rPr>
        <w:t xml:space="preserve"> 第三方检测项目 </w:t>
      </w:r>
      <w:r>
        <w:rPr>
          <w:rFonts w:hint="eastAsia" w:asciiTheme="minorEastAsia" w:hAnsiTheme="minorEastAsia" w:eastAsiaTheme="minorEastAsia" w:cstheme="minorEastAsia"/>
          <w:szCs w:val="21"/>
        </w:rPr>
        <w:t>工作，双方本着平等互利、真诚合作原则，结合本工程具体情况，依据《民法典》等有关规定，签订本合同，具体条款如下：</w:t>
      </w:r>
    </w:p>
    <w:p>
      <w:pPr>
        <w:spacing w:line="360" w:lineRule="auto"/>
        <w:ind w:left="54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第1条 工程概况</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1.1工程名称：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1.2工程范围：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1.3工    期：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1.4质量标准：达到按国家相关专业规定的专业质量检验评定标准。</w:t>
      </w:r>
    </w:p>
    <w:p>
      <w:pPr>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1.5合同价款：合同总价为           （￥    ）。因设计变更或甲方根据需要要求进行变更，合同价款可作相应的调整，变更按实际增减工程量双方协商解决，另行订立补充合同。</w:t>
      </w:r>
    </w:p>
    <w:p>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1.6付款方式：该</w:t>
      </w:r>
      <w:r>
        <w:rPr>
          <w:rFonts w:hint="eastAsia" w:ascii="宋体" w:hAnsi="宋体" w:cs="宋体"/>
          <w:szCs w:val="21"/>
          <w:lang w:bidi="zh-CN"/>
        </w:rPr>
        <w:t>基础网络周界安全设备（包含软件和硬件）项目</w:t>
      </w:r>
      <w:r>
        <w:rPr>
          <w:rFonts w:hint="eastAsia" w:asciiTheme="minorEastAsia" w:hAnsiTheme="minorEastAsia" w:eastAsiaTheme="minorEastAsia" w:cstheme="minorEastAsia"/>
          <w:szCs w:val="21"/>
        </w:rPr>
        <w:t>完毕经双方验收合格且开具全额发票后，支付工程款总额的95%，余款壹年后结清.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第2条 甲方权利义务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2.1甲方在协议设备出现故障后，应及时通知乙方。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2.2甲方不能使用未经乙方认可的零配件、消耗品，否则产生的设备故障，乙方不承担责任。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2.3未经乙方认可，甲方不得邀请第三方单位对合同设备进行维修保养服务，否则乙方不承担由此产生的后果和责任。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2.4甲方不得对合同设备进行私自拆卸，否则由甲方承担所造成的全部损失；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2.5协议设备发生转移或转让时，甲方应及时通知乙方；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2.6甲方对乙方提供的临时备用设备有监管义务，如甲方在使用过程中有人为损坏、丢失等情况发生，给其乙方造成的一切损失由甲方承担。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第3条 乙方权利义务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3.1负责工程项目正式开工前的一切准备工作</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 乙方在履行本合同期间，应当严格遵守甲方厂规厂纪和相关要求，作到安全、文明工作。否则，乙方承诺：按甲方厂规厂纪有权要求乙方承担违约金，造成损失的由乙方负责赔偿。</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3.4本合同项下的设备出现故障，乙方接到通知（电话或书面通知），必须在20分钟内到场维修，并应在1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第4条 工程质量、安全及文明、环保施工</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4.1乙方应按国家及行业规范要求进行施工。制订质量管理目标，落实质量责任制，确保实现施工合同和甲方要求的质量目标。隐蔽工程必须经甲方验收合格后方可进行下道工序施工，并保存相关影像或其他证明材料。</w:t>
      </w:r>
    </w:p>
    <w:p>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4.2工作期间，乙方对工作区域的安全、保卫、环保、文明工作等全面负责， 并应遵守甲方的规定。对违反本款规定的，甲方根据实际情况，有权要求乙方支付1000元至10000元的违约赔偿金。</w:t>
      </w:r>
    </w:p>
    <w:p>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第5条</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 xml:space="preserve"> 质量验收</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5.1本工程以国家制订的施工以及验收规范和甲方验收约定文件与设计要求为质量评定验收标准。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 保修期内发生的质量问题，由乙方无偿返修，确须更换零件的，乙方负责无偿更换，并赔偿甲方的全部损失。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5.3由乙方原因造成的工期延期，超出部分每天按合同总价的0.5%作为罚金，在最终结算时从结算价中扣除。</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5.4</w:t>
      </w:r>
      <w:r>
        <w:rPr>
          <w:rFonts w:hint="eastAsia" w:ascii="宋体" w:hAnsi="宋体" w:cs="宋体"/>
          <w:szCs w:val="21"/>
          <w:lang w:bidi="zh-CN"/>
        </w:rPr>
        <w:t>基础网络周界安全设备（包含软件和硬件）项目</w:t>
      </w:r>
      <w:r>
        <w:rPr>
          <w:rFonts w:hint="eastAsia" w:asciiTheme="minorEastAsia" w:hAnsiTheme="minorEastAsia" w:eastAsiaTheme="minorEastAsia" w:cstheme="minorEastAsia"/>
          <w:szCs w:val="21"/>
        </w:rPr>
        <w:t>结束后，乙方应通知甲方验收，甲方自接到验收通知30日内组织验收，并办理验收、交接手续。如甲方在规定时间内未能组织验收，需及时通知乙方，另定验收日期。但甲方应承认竣工日期。</w:t>
      </w:r>
    </w:p>
    <w:p>
      <w:pPr>
        <w:spacing w:line="360" w:lineRule="auto"/>
        <w:ind w:firstLine="413" w:firstLineChars="196"/>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第6条 争议解决</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8"/>
        </w:num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附则</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7.1本工程所有未尽事宜，双方应另订协议</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7.2本合同经双方代表签字、盖章后生效。本合同一式贰份，双方各壹份。</w:t>
      </w:r>
    </w:p>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甲方及乙方情况：</w:t>
      </w:r>
    </w:p>
    <w:tbl>
      <w:tblPr>
        <w:tblStyle w:val="41"/>
        <w:tblW w:w="8486" w:type="dxa"/>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vAlign w:val="center"/>
          </w:tcPr>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甲方：（公章）</w:t>
            </w:r>
          </w:p>
        </w:tc>
        <w:tc>
          <w:tcPr>
            <w:tcW w:w="5712" w:type="dxa"/>
            <w:vAlign w:val="center"/>
          </w:tcPr>
          <w:p>
            <w:pPr>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纳税人识别号：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行号：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p>
        </w:tc>
        <w:tc>
          <w:tcPr>
            <w:tcW w:w="5712" w:type="dxa"/>
          </w:tcPr>
          <w:p>
            <w:pPr>
              <w:spacing w:line="360" w:lineRule="auto"/>
              <w:ind w:firstLine="480"/>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乙方：（公章）</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账号：      </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bl>
    <w:p>
      <w:r>
        <w:rPr>
          <w:rFonts w:hint="eastAsia"/>
        </w:rPr>
        <w:br w:type="page"/>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附件7——反商业贿赂承诺书（格式）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附件8——投标人控股及管理关系情况表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附件9——详细的实施方案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附件10——售后服务方案及承诺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附件11——投标人认为需要提供的其它材料</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49" w:name="_Hlt520356241"/>
      <w:bookmarkEnd w:id="349"/>
      <w:bookmarkStart w:id="350" w:name="_Toc480942349"/>
      <w:bookmarkStart w:id="351" w:name="_Ref467988698"/>
      <w:bookmarkStart w:id="352" w:name="_Toc77629032"/>
      <w:bookmarkStart w:id="353" w:name="_Toc520356217"/>
      <w:bookmarkStart w:id="354" w:name="_Toc216582813"/>
      <w:bookmarkStart w:id="355" w:name="_Toc29240297"/>
      <w:bookmarkStart w:id="356" w:name="_Toc415222524"/>
      <w:bookmarkStart w:id="357" w:name="_Toc77628618"/>
      <w:bookmarkStart w:id="358" w:name="_Toc30068"/>
      <w:bookmarkStart w:id="359" w:name="_Toc77628952"/>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ascii="宋体" w:hAnsi="宋体"/>
          <w:szCs w:val="21"/>
        </w:rPr>
      </w:pPr>
    </w:p>
    <w:p>
      <w:pPr>
        <w:pStyle w:val="20"/>
        <w:tabs>
          <w:tab w:val="left" w:pos="5580"/>
        </w:tabs>
        <w:spacing w:line="360" w:lineRule="auto"/>
        <w:ind w:left="2" w:leftChars="1" w:firstLine="420" w:firstLineChars="200"/>
        <w:rPr>
          <w:rFonts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Ansi="宋体"/>
          <w:szCs w:val="21"/>
        </w:rPr>
      </w:pPr>
      <w:r>
        <w:rPr>
          <w:rFonts w:hint="eastAsia" w:hAnsi="宋体"/>
          <w:szCs w:val="21"/>
        </w:rPr>
        <w:t>（1）开标一览表；</w:t>
      </w:r>
    </w:p>
    <w:p>
      <w:pPr>
        <w:pStyle w:val="20"/>
        <w:tabs>
          <w:tab w:val="left" w:pos="1080"/>
        </w:tabs>
        <w:spacing w:line="360" w:lineRule="auto"/>
        <w:ind w:left="420" w:leftChars="200"/>
        <w:rPr>
          <w:rFonts w:hAnsi="宋体"/>
          <w:szCs w:val="21"/>
        </w:rPr>
      </w:pPr>
      <w:r>
        <w:rPr>
          <w:rFonts w:hint="eastAsia" w:hAnsi="宋体"/>
          <w:szCs w:val="21"/>
        </w:rPr>
        <w:t>（2）商务条款偏离表；</w:t>
      </w:r>
    </w:p>
    <w:p>
      <w:pPr>
        <w:pStyle w:val="20"/>
        <w:tabs>
          <w:tab w:val="left" w:pos="1080"/>
        </w:tabs>
        <w:spacing w:line="360" w:lineRule="auto"/>
        <w:ind w:left="420" w:leftChars="200"/>
        <w:rPr>
          <w:rFonts w:hAnsi="宋体"/>
          <w:szCs w:val="21"/>
        </w:rPr>
      </w:pPr>
      <w:r>
        <w:rPr>
          <w:rFonts w:hint="eastAsia" w:hAnsi="宋体"/>
          <w:szCs w:val="21"/>
        </w:rPr>
        <w:t>（3）技术规格偏离表；</w:t>
      </w:r>
    </w:p>
    <w:p>
      <w:pPr>
        <w:pStyle w:val="20"/>
        <w:tabs>
          <w:tab w:val="left" w:pos="1080"/>
        </w:tabs>
        <w:spacing w:line="360" w:lineRule="auto"/>
        <w:ind w:left="420" w:leftChars="200"/>
        <w:rPr>
          <w:rFonts w:hAnsi="宋体"/>
          <w:szCs w:val="21"/>
        </w:rPr>
      </w:pPr>
      <w:r>
        <w:rPr>
          <w:rFonts w:hint="eastAsia" w:hAnsi="宋体"/>
          <w:szCs w:val="21"/>
        </w:rPr>
        <w:t>（4）资格证明文件；</w:t>
      </w:r>
    </w:p>
    <w:p>
      <w:pPr>
        <w:pStyle w:val="20"/>
        <w:tabs>
          <w:tab w:val="left" w:pos="1080"/>
        </w:tabs>
        <w:spacing w:line="360" w:lineRule="auto"/>
        <w:ind w:left="420" w:leftChars="200"/>
        <w:rPr>
          <w:rFonts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Ansi="宋体"/>
          <w:szCs w:val="21"/>
        </w:rPr>
      </w:pPr>
      <w:r>
        <w:rPr>
          <w:rFonts w:hint="eastAsia" w:hAnsi="宋体"/>
          <w:szCs w:val="21"/>
        </w:rPr>
        <w:t>据此，签字代表宣布同意如下：</w:t>
      </w:r>
    </w:p>
    <w:p>
      <w:pPr>
        <w:pStyle w:val="20"/>
        <w:numPr>
          <w:ilvl w:val="0"/>
          <w:numId w:val="9"/>
        </w:numPr>
        <w:tabs>
          <w:tab w:val="left" w:pos="720"/>
          <w:tab w:val="left" w:pos="900"/>
        </w:tabs>
        <w:spacing w:line="360" w:lineRule="auto"/>
        <w:ind w:left="907" w:firstLine="0"/>
        <w:rPr>
          <w:rFonts w:hAnsi="宋体"/>
          <w:szCs w:val="21"/>
          <w:u w:val="single"/>
        </w:rPr>
      </w:pPr>
      <w:r>
        <w:rPr>
          <w:rFonts w:hint="eastAsia" w:hAnsi="宋体"/>
          <w:szCs w:val="21"/>
        </w:rPr>
        <w:t>附投标价格表中规定的应提交和交付的产品投标报价为</w:t>
      </w:r>
      <w:r>
        <w:rPr>
          <w:rFonts w:hint="eastAsia" w:hAnsi="宋体"/>
          <w:szCs w:val="21"/>
          <w:highlight w:val="yellow"/>
          <w:u w:val="single"/>
        </w:rPr>
        <w:t xml:space="preserve">人民币 大写：    小写： </w:t>
      </w:r>
      <w:r>
        <w:rPr>
          <w:rFonts w:hAnsi="宋体"/>
          <w:szCs w:val="21"/>
          <w:highlight w:val="yellow"/>
          <w:u w:val="single"/>
        </w:rPr>
        <w:t xml:space="preserve">   </w:t>
      </w:r>
      <w:r>
        <w:rPr>
          <w:rFonts w:hint="eastAsia" w:hAnsi="宋体"/>
          <w:szCs w:val="21"/>
          <w:highlight w:val="yellow"/>
          <w:u w:val="single"/>
        </w:rPr>
        <w:t>（用文字和数字表示的投标报价）元</w:t>
      </w:r>
      <w:r>
        <w:rPr>
          <w:rFonts w:hint="eastAsia" w:hAnsi="宋体"/>
          <w:szCs w:val="21"/>
          <w:highlight w:val="yellow"/>
        </w:rPr>
        <w:t>。</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投标人将按招标文件的规定履行合同责任和义务。</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61" w:name="_Hlt520355938"/>
      <w:bookmarkEnd w:id="361"/>
      <w:bookmarkStart w:id="362" w:name="_Hlt520356243"/>
      <w:bookmarkEnd w:id="362"/>
      <w:bookmarkStart w:id="363" w:name="_Toc520356218"/>
      <w:bookmarkStart w:id="364" w:name="_Toc77629033"/>
      <w:bookmarkStart w:id="365" w:name="_Toc29240298"/>
      <w:bookmarkStart w:id="366" w:name="_Ref467988705"/>
      <w:bookmarkStart w:id="367" w:name="_Toc216582814"/>
      <w:bookmarkStart w:id="368" w:name="_Toc415222525"/>
      <w:bookmarkStart w:id="369" w:name="_Toc77628953"/>
      <w:bookmarkStart w:id="370" w:name="_Toc480942350"/>
      <w:bookmarkStart w:id="371" w:name="_Toc17672"/>
      <w:bookmarkStart w:id="372" w:name="_Toc77628619"/>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726" w:type="dxa"/>
            <w:vAlign w:val="center"/>
          </w:tcPr>
          <w:p>
            <w:pPr>
              <w:spacing w:line="380" w:lineRule="exact"/>
              <w:jc w:val="center"/>
              <w:rPr>
                <w:rFonts w:ascii="仿宋" w:hAnsi="仿宋" w:eastAsia="仿宋" w:cs="仿宋"/>
                <w:sz w:val="24"/>
              </w:rPr>
            </w:pPr>
            <w:r>
              <w:rPr>
                <w:rFonts w:hint="eastAsia" w:ascii="仿宋" w:hAnsi="仿宋" w:eastAsia="仿宋" w:cs="仿宋"/>
                <w:sz w:val="24"/>
              </w:rPr>
              <w:t>价格（元）</w:t>
            </w:r>
          </w:p>
        </w:tc>
        <w:tc>
          <w:tcPr>
            <w:tcW w:w="1936" w:type="dxa"/>
            <w:vAlign w:val="center"/>
          </w:tcPr>
          <w:p>
            <w:pPr>
              <w:spacing w:line="380" w:lineRule="exact"/>
              <w:ind w:firstLine="480" w:firstLineChars="200"/>
              <w:rPr>
                <w:rFonts w:ascii="仿宋" w:hAnsi="仿宋" w:eastAsia="仿宋" w:cs="仿宋"/>
                <w:sz w:val="24"/>
              </w:rPr>
            </w:pPr>
            <w:r>
              <w:rPr>
                <w:rFonts w:hint="eastAsia" w:ascii="仿宋" w:hAnsi="仿宋" w:eastAsia="仿宋" w:cs="仿宋"/>
                <w:sz w:val="24"/>
              </w:rPr>
              <w:t>品牌</w:t>
            </w:r>
          </w:p>
        </w:tc>
        <w:tc>
          <w:tcPr>
            <w:tcW w:w="2391" w:type="dxa"/>
            <w:vAlign w:val="center"/>
          </w:tcPr>
          <w:p>
            <w:pPr>
              <w:spacing w:line="380" w:lineRule="exact"/>
              <w:jc w:val="center"/>
              <w:rPr>
                <w:rFonts w:ascii="仿宋" w:hAnsi="仿宋" w:eastAsia="仿宋" w:cs="仿宋"/>
                <w:sz w:val="24"/>
              </w:rPr>
            </w:pPr>
            <w:r>
              <w:rPr>
                <w:rFonts w:hint="eastAsia" w:ascii="仿宋" w:hAnsi="仿宋" w:eastAsia="仿宋" w:cs="仿宋"/>
                <w:sz w:val="24"/>
              </w:rPr>
              <w:t>付款方式</w:t>
            </w:r>
          </w:p>
        </w:tc>
        <w:tc>
          <w:tcPr>
            <w:tcW w:w="1388" w:type="dxa"/>
            <w:vAlign w:val="center"/>
          </w:tcPr>
          <w:p>
            <w:pPr>
              <w:spacing w:line="380" w:lineRule="exact"/>
              <w:jc w:val="center"/>
              <w:rPr>
                <w:rFonts w:ascii="仿宋" w:hAnsi="仿宋" w:eastAsia="仿宋" w:cs="仿宋"/>
                <w:sz w:val="24"/>
              </w:rPr>
            </w:pPr>
            <w:r>
              <w:rPr>
                <w:rFonts w:hint="eastAsia" w:ascii="仿宋" w:hAnsi="仿宋" w:eastAsia="仿宋" w:cs="仿宋"/>
                <w:sz w:val="24"/>
              </w:rPr>
              <w:t>供货期</w:t>
            </w:r>
          </w:p>
        </w:tc>
        <w:tc>
          <w:tcPr>
            <w:tcW w:w="2222" w:type="dxa"/>
            <w:vAlign w:val="center"/>
          </w:tcPr>
          <w:p>
            <w:pPr>
              <w:spacing w:line="380" w:lineRule="exact"/>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ascii="仿宋" w:hAnsi="仿宋" w:eastAsia="仿宋" w:cs="仿宋"/>
                <w:sz w:val="24"/>
                <w:highlight w:val="red"/>
              </w:rPr>
            </w:pPr>
          </w:p>
        </w:tc>
        <w:tc>
          <w:tcPr>
            <w:tcW w:w="1936" w:type="dxa"/>
            <w:tcBorders>
              <w:left w:val="single" w:color="auto" w:sz="4" w:space="0"/>
              <w:bottom w:val="single" w:color="auto" w:sz="4" w:space="0"/>
              <w:right w:val="single" w:color="auto" w:sz="4" w:space="0"/>
            </w:tcBorders>
            <w:vAlign w:val="center"/>
          </w:tcPr>
          <w:p>
            <w:pPr>
              <w:jc w:val="center"/>
              <w:rPr>
                <w:rFonts w:ascii="仿宋" w:hAnsi="仿宋" w:eastAsia="仿宋" w:cs="仿宋"/>
                <w:sz w:val="24"/>
              </w:rPr>
            </w:pPr>
          </w:p>
        </w:tc>
        <w:tc>
          <w:tcPr>
            <w:tcW w:w="2391" w:type="dxa"/>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rPr>
            </w:pPr>
          </w:p>
        </w:tc>
        <w:tc>
          <w:tcPr>
            <w:tcW w:w="1388" w:type="dxa"/>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rPr>
            </w:pPr>
          </w:p>
        </w:tc>
        <w:tc>
          <w:tcPr>
            <w:tcW w:w="2222" w:type="dxa"/>
            <w:tcBorders>
              <w:left w:val="single" w:color="auto" w:sz="4" w:space="0"/>
              <w:bottom w:val="single" w:color="auto" w:sz="4" w:space="0"/>
            </w:tcBorders>
            <w:vAlign w:val="center"/>
          </w:tcPr>
          <w:p>
            <w:pPr>
              <w:spacing w:line="38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spacing w:line="380" w:lineRule="exact"/>
              <w:jc w:val="left"/>
            </w:pPr>
            <w:r>
              <w:rPr>
                <w:rFonts w:hint="eastAsia"/>
              </w:rPr>
              <w:t>服务期限：合同签订之日起    年。</w:t>
            </w:r>
          </w:p>
          <w:p>
            <w:pPr>
              <w:pStyle w:val="2"/>
              <w:rPr>
                <w:rFonts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pStyle w:val="20"/>
              <w:tabs>
                <w:tab w:val="left" w:pos="5580"/>
              </w:tabs>
              <w:spacing w:line="360" w:lineRule="auto"/>
              <w:jc w:val="left"/>
              <w:rPr>
                <w:rFonts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jc w:val="left"/>
        <w:rPr>
          <w:rFonts w:hAnsi="宋体"/>
          <w:b/>
          <w:bCs/>
          <w:szCs w:val="21"/>
        </w:rPr>
      </w:pPr>
      <w:r>
        <w:rPr>
          <w:rFonts w:hint="eastAsia" w:hAnsi="宋体"/>
          <w:b/>
          <w:bCs/>
          <w:szCs w:val="21"/>
        </w:rPr>
        <w:t>注：</w:t>
      </w:r>
    </w:p>
    <w:p>
      <w:pPr>
        <w:pStyle w:val="20"/>
        <w:tabs>
          <w:tab w:val="left" w:pos="5580"/>
        </w:tabs>
        <w:spacing w:line="360" w:lineRule="auto"/>
        <w:jc w:val="left"/>
        <w:rPr>
          <w:rFonts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73" w:name="_Toc77628954"/>
      <w:bookmarkStart w:id="374" w:name="_Toc77629034"/>
      <w:bookmarkStart w:id="375" w:name="_Toc29240299"/>
      <w:bookmarkStart w:id="376" w:name="_Toc77628620"/>
      <w:bookmarkStart w:id="377" w:name="_Toc15798"/>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73346625"/>
      <w:bookmarkStart w:id="379" w:name="_Toc269106629"/>
      <w:r>
        <w:rPr>
          <w:rFonts w:hAnsi="宋体" w:cs="Arial"/>
          <w:b/>
          <w:szCs w:val="21"/>
          <w:u w:val="single"/>
        </w:rPr>
        <w:t>（项目单位名称）</w:t>
      </w:r>
      <w:r>
        <w:rPr>
          <w:rFonts w:hAnsi="宋体" w:cs="Arial"/>
          <w:b/>
          <w:szCs w:val="21"/>
        </w:rPr>
        <w:t>：</w:t>
      </w:r>
    </w:p>
    <w:p>
      <w:pPr>
        <w:spacing w:line="360" w:lineRule="auto"/>
        <w:ind w:firstLine="420" w:firstLineChars="200"/>
        <w:rPr>
          <w:rFonts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ascii="宋体" w:hAnsi="宋体"/>
          <w:szCs w:val="21"/>
        </w:rPr>
      </w:pPr>
      <w:bookmarkStart w:id="380" w:name="_Toc269106630"/>
      <w:bookmarkStart w:id="381" w:name="_Toc273346626"/>
      <w:r>
        <w:rPr>
          <w:rFonts w:ascii="宋体" w:hAnsi="宋体"/>
          <w:szCs w:val="21"/>
        </w:rPr>
        <w:t>我方在此无条件地、不可撤销地承诺：</w:t>
      </w:r>
      <w:bookmarkEnd w:id="380"/>
      <w:bookmarkEnd w:id="381"/>
    </w:p>
    <w:p>
      <w:pPr>
        <w:spacing w:line="360" w:lineRule="auto"/>
        <w:ind w:firstLine="420" w:firstLineChars="200"/>
        <w:rPr>
          <w:rFonts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ascii="宋体" w:hAnsi="宋体"/>
          <w:szCs w:val="21"/>
        </w:rPr>
      </w:pPr>
      <w:r>
        <w:rPr>
          <w:rFonts w:ascii="宋体" w:hAnsi="宋体"/>
          <w:szCs w:val="21"/>
        </w:rPr>
        <w:t>3．我方在签订合同时未能提供合格的履约担保；</w:t>
      </w:r>
    </w:p>
    <w:p>
      <w:pPr>
        <w:spacing w:line="360" w:lineRule="auto"/>
        <w:ind w:firstLine="420" w:firstLineChars="200"/>
        <w:rPr>
          <w:rFonts w:ascii="宋体" w:hAnsi="宋体"/>
          <w:szCs w:val="21"/>
        </w:rPr>
      </w:pPr>
      <w:r>
        <w:rPr>
          <w:rFonts w:ascii="宋体" w:hAnsi="宋体"/>
          <w:szCs w:val="21"/>
        </w:rPr>
        <w:t>4．我方发生招标文件投标人须知所述的情况。</w:t>
      </w:r>
    </w:p>
    <w:p>
      <w:pPr>
        <w:spacing w:line="360" w:lineRule="auto"/>
        <w:ind w:firstLine="420" w:firstLineChars="200"/>
        <w:rPr>
          <w:rFonts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73346627"/>
      <w:bookmarkStart w:id="383" w:name="_Toc269106631"/>
      <w:r>
        <w:rPr>
          <w:rFonts w:hAnsi="宋体" w:cs="Arial"/>
          <w:szCs w:val="21"/>
        </w:rPr>
        <w:t>法定代表人或</w:t>
      </w:r>
      <w:bookmarkEnd w:id="382"/>
      <w:bookmarkEnd w:id="383"/>
      <w:bookmarkStart w:id="384" w:name="_Toc269106632"/>
      <w:bookmarkStart w:id="385" w:name="_Toc273346628"/>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ascii="宋体" w:hAnsi="宋体" w:cs="宋体"/>
          <w:b/>
          <w:szCs w:val="21"/>
          <w:lang w:val="zh-TW"/>
        </w:rPr>
      </w:pPr>
      <w:bookmarkStart w:id="386" w:name="_Toc32698"/>
      <w:bookmarkStart w:id="387" w:name="_Toc3966"/>
      <w:r>
        <w:rPr>
          <w:rFonts w:hint="eastAsia" w:ascii="宋体" w:hAnsi="宋体" w:cs="宋体"/>
          <w:b/>
          <w:szCs w:val="21"/>
          <w:lang w:val="zh-TW"/>
        </w:rPr>
        <w:t>（三）投标保证金退还表格式</w:t>
      </w:r>
      <w:bookmarkEnd w:id="386"/>
      <w:bookmarkEnd w:id="387"/>
    </w:p>
    <w:p>
      <w:pPr>
        <w:spacing w:line="360" w:lineRule="auto"/>
        <w:rPr>
          <w:rFonts w:ascii="宋体" w:hAnsi="宋体"/>
          <w:szCs w:val="21"/>
        </w:rPr>
      </w:pPr>
      <w:r>
        <w:rPr>
          <w:rFonts w:hint="eastAsia" w:ascii="宋体" w:hAnsi="宋体"/>
          <w:szCs w:val="21"/>
        </w:rPr>
        <w:t>国药集团扬州威克生物工程有限公司：</w:t>
      </w:r>
    </w:p>
    <w:p>
      <w:pPr>
        <w:spacing w:line="360" w:lineRule="auto"/>
        <w:ind w:firstLine="420" w:firstLineChars="200"/>
        <w:rPr>
          <w:rFonts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我公司账户如下：</w:t>
      </w:r>
    </w:p>
    <w:p>
      <w:pPr>
        <w:spacing w:line="360" w:lineRule="auto"/>
        <w:ind w:firstLine="420" w:firstLineChars="200"/>
        <w:rPr>
          <w:rFonts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ascii="宋体" w:hAnsi="宋体"/>
          <w:szCs w:val="21"/>
        </w:rPr>
      </w:pPr>
    </w:p>
    <w:p>
      <w:pPr>
        <w:spacing w:line="360" w:lineRule="auto"/>
        <w:rPr>
          <w:rFonts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88" w:name="_Toc77628957"/>
      <w:bookmarkStart w:id="389" w:name="_Toc77629037"/>
      <w:bookmarkStart w:id="390" w:name="_Toc20445"/>
      <w:bookmarkStart w:id="391" w:name="_Toc29240302"/>
      <w:bookmarkStart w:id="392" w:name="_Toc415222529"/>
      <w:bookmarkStart w:id="393" w:name="_Toc216582818"/>
      <w:bookmarkStart w:id="394" w:name="_Toc77628623"/>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Ansi="宋体"/>
                <w:szCs w:val="21"/>
              </w:rPr>
            </w:pPr>
            <w:r>
              <w:rPr>
                <w:rFonts w:hint="eastAsia" w:hAnsi="宋体"/>
                <w:szCs w:val="21"/>
              </w:rPr>
              <w:t>序号</w:t>
            </w:r>
          </w:p>
        </w:tc>
        <w:tc>
          <w:tcPr>
            <w:tcW w:w="2135" w:type="dxa"/>
            <w:vAlign w:val="center"/>
          </w:tcPr>
          <w:p>
            <w:pPr>
              <w:pStyle w:val="20"/>
              <w:spacing w:line="360" w:lineRule="auto"/>
              <w:jc w:val="center"/>
              <w:rPr>
                <w:rFonts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Ansi="宋体"/>
                <w:szCs w:val="21"/>
              </w:rPr>
            </w:pPr>
            <w:r>
              <w:rPr>
                <w:rFonts w:hint="eastAsia" w:hAnsi="宋体"/>
                <w:szCs w:val="21"/>
              </w:rPr>
              <w:t>投标响应</w:t>
            </w:r>
          </w:p>
        </w:tc>
        <w:tc>
          <w:tcPr>
            <w:tcW w:w="1769" w:type="dxa"/>
            <w:vAlign w:val="center"/>
          </w:tcPr>
          <w:p>
            <w:pPr>
              <w:pStyle w:val="20"/>
              <w:spacing w:line="360" w:lineRule="auto"/>
              <w:jc w:val="center"/>
              <w:rPr>
                <w:rFonts w:hAnsi="宋体"/>
                <w:szCs w:val="21"/>
              </w:rPr>
            </w:pPr>
            <w:r>
              <w:rPr>
                <w:rFonts w:hint="eastAsia" w:hAnsi="宋体"/>
                <w:szCs w:val="21"/>
              </w:rPr>
              <w:t>偏离情况</w:t>
            </w:r>
          </w:p>
        </w:tc>
        <w:tc>
          <w:tcPr>
            <w:tcW w:w="1522" w:type="dxa"/>
            <w:vAlign w:val="center"/>
          </w:tcPr>
          <w:p>
            <w:pPr>
              <w:pStyle w:val="20"/>
              <w:spacing w:line="360" w:lineRule="auto"/>
              <w:jc w:val="center"/>
              <w:rPr>
                <w:rFonts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1</w:t>
            </w:r>
          </w:p>
        </w:tc>
        <w:tc>
          <w:tcPr>
            <w:tcW w:w="2135" w:type="dxa"/>
          </w:tcPr>
          <w:p>
            <w:pPr>
              <w:pStyle w:val="20"/>
              <w:spacing w:line="360" w:lineRule="auto"/>
              <w:jc w:val="center"/>
              <w:rPr>
                <w:rFonts w:hAnsi="宋体"/>
                <w:szCs w:val="21"/>
              </w:rPr>
            </w:pPr>
            <w:r>
              <w:rPr>
                <w:rFonts w:hint="eastAsia" w:hAnsi="宋体"/>
                <w:szCs w:val="21"/>
              </w:rPr>
              <w:t>投标有效期</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2</w:t>
            </w:r>
          </w:p>
        </w:tc>
        <w:tc>
          <w:tcPr>
            <w:tcW w:w="2135" w:type="dxa"/>
          </w:tcPr>
          <w:p>
            <w:pPr>
              <w:pStyle w:val="20"/>
              <w:spacing w:line="360" w:lineRule="auto"/>
              <w:jc w:val="center"/>
              <w:rPr>
                <w:rFonts w:hAnsi="宋体"/>
                <w:szCs w:val="21"/>
              </w:rPr>
            </w:pPr>
            <w:r>
              <w:rPr>
                <w:rFonts w:hint="eastAsia" w:hAnsi="宋体"/>
                <w:szCs w:val="21"/>
              </w:rPr>
              <w:t>投标保证金</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3</w:t>
            </w:r>
          </w:p>
        </w:tc>
        <w:tc>
          <w:tcPr>
            <w:tcW w:w="2135" w:type="dxa"/>
          </w:tcPr>
          <w:p>
            <w:pPr>
              <w:pStyle w:val="20"/>
              <w:spacing w:line="360" w:lineRule="auto"/>
              <w:jc w:val="center"/>
              <w:rPr>
                <w:rFonts w:hAnsi="宋体"/>
                <w:szCs w:val="21"/>
              </w:rPr>
            </w:pPr>
            <w:r>
              <w:rPr>
                <w:rFonts w:hint="eastAsia" w:hAnsi="宋体"/>
                <w:szCs w:val="21"/>
              </w:rPr>
              <w:t>合同条款</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bl>
    <w:p>
      <w:pPr>
        <w:pStyle w:val="20"/>
        <w:spacing w:line="360" w:lineRule="auto"/>
        <w:rPr>
          <w:rFonts w:hAnsi="宋体"/>
          <w:szCs w:val="21"/>
        </w:rPr>
      </w:pPr>
    </w:p>
    <w:p>
      <w:pPr>
        <w:pStyle w:val="20"/>
        <w:spacing w:line="360" w:lineRule="auto"/>
        <w:jc w:val="left"/>
        <w:rPr>
          <w:rFonts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Ansi="宋体"/>
          <w:b/>
          <w:szCs w:val="21"/>
        </w:rPr>
      </w:pPr>
    </w:p>
    <w:p>
      <w:pPr>
        <w:pStyle w:val="20"/>
        <w:spacing w:line="360" w:lineRule="auto"/>
        <w:rPr>
          <w:rFonts w:hAnsi="宋体"/>
          <w:b/>
          <w:szCs w:val="21"/>
        </w:rPr>
      </w:pPr>
    </w:p>
    <w:p>
      <w:pPr>
        <w:pStyle w:val="20"/>
        <w:spacing w:line="360" w:lineRule="auto"/>
        <w:rPr>
          <w:rFonts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highlight w:val="yellow"/>
        </w:rPr>
      </w:pPr>
      <w:bookmarkStart w:id="395" w:name="_Toc415222528"/>
      <w:bookmarkStart w:id="396" w:name="_Toc77628958"/>
      <w:bookmarkStart w:id="397" w:name="_Toc216582817"/>
      <w:bookmarkStart w:id="398" w:name="_Toc19842"/>
      <w:bookmarkStart w:id="399" w:name="_Toc77629038"/>
      <w:bookmarkStart w:id="400" w:name="_Toc29240303"/>
      <w:bookmarkStart w:id="401" w:name="_Toc77628624"/>
      <w:bookmarkStart w:id="402" w:name="_Toc29240304"/>
      <w:bookmarkStart w:id="403" w:name="_Toc480942355"/>
      <w:bookmarkStart w:id="404" w:name="_Ref467988543"/>
      <w:bookmarkStart w:id="405" w:name="_Toc77629039"/>
      <w:bookmarkStart w:id="406" w:name="_Toc415222530"/>
      <w:bookmarkStart w:id="407" w:name="_Toc32311"/>
      <w:bookmarkStart w:id="408" w:name="_Toc520356224"/>
      <w:bookmarkStart w:id="409" w:name="_Toc216582819"/>
      <w:bookmarkStart w:id="410" w:name="_Toc77628625"/>
      <w:bookmarkStart w:id="411" w:name="_Toc77628959"/>
      <w:r>
        <w:rPr>
          <w:rFonts w:hint="eastAsia" w:ascii="宋体" w:hAnsi="宋体" w:eastAsia="宋体"/>
          <w:sz w:val="21"/>
          <w:szCs w:val="21"/>
          <w:highlight w:val="yellow"/>
        </w:rPr>
        <w:t>附件5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网络周界安全设备  </w:t>
      </w:r>
      <w:r>
        <w:rPr>
          <w:rFonts w:hAnsi="宋体"/>
          <w:szCs w:val="21"/>
        </w:rPr>
        <w:t xml:space="preserve">    </w:t>
      </w:r>
      <w:r>
        <w:rPr>
          <w:rFonts w:hint="eastAsia" w:hAnsi="宋体"/>
          <w:szCs w:val="21"/>
        </w:rPr>
        <w:t xml:space="preserve">             </w:t>
      </w:r>
      <w:r>
        <w:rPr>
          <w:rFonts w:hAnsi="宋体"/>
          <w:szCs w:val="21"/>
        </w:rPr>
        <w:t xml:space="preserve">                </w:t>
      </w:r>
      <w:r>
        <w:rPr>
          <w:rFonts w:hint="eastAsia" w:ascii="宋体" w:hAnsi="宋体"/>
          <w:szCs w:val="21"/>
        </w:rPr>
        <w:t xml:space="preserve">招标编号： </w:t>
      </w:r>
      <w:r>
        <w:rPr>
          <w:rFonts w:hint="eastAsia" w:ascii="宋体" w:hAnsi="宋体"/>
          <w:szCs w:val="21"/>
          <w:u w:val="single"/>
        </w:rPr>
        <w:t xml:space="preserve"> WKZB-2025-0</w:t>
      </w:r>
      <w:r>
        <w:rPr>
          <w:rFonts w:ascii="宋体" w:hAnsi="宋体"/>
          <w:szCs w:val="21"/>
          <w:u w:val="single"/>
        </w:rPr>
        <w:t>14</w:t>
      </w:r>
      <w:r>
        <w:rPr>
          <w:rFonts w:hint="eastAsia" w:ascii="宋体" w:hAnsi="宋体"/>
          <w:szCs w:val="21"/>
          <w:u w:val="single"/>
        </w:rPr>
        <w:t xml:space="preserve"> </w:t>
      </w:r>
      <w:r>
        <w:rPr>
          <w:rFonts w:hint="eastAsia" w:ascii="宋体" w:hAnsi="宋体"/>
          <w:szCs w:val="21"/>
        </w:rPr>
        <w:t xml:space="preserve">          </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6453"/>
        <w:gridCol w:w="976"/>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8" w:type="pct"/>
            <w:gridSpan w:val="3"/>
          </w:tcPr>
          <w:p>
            <w:pPr>
              <w:jc w:val="center"/>
              <w:rPr>
                <w:szCs w:val="21"/>
              </w:rPr>
            </w:pPr>
            <w:r>
              <w:rPr>
                <w:rFonts w:hint="eastAsia"/>
                <w:b/>
                <w:szCs w:val="21"/>
              </w:rPr>
              <w:t>1.入侵防御系统</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tcPr>
          <w:p>
            <w:pPr>
              <w:jc w:val="left"/>
            </w:pPr>
            <w:r>
              <w:t>URS</w:t>
            </w:r>
            <w:r>
              <w:rPr>
                <w:rFonts w:hint="eastAsia"/>
              </w:rPr>
              <w:t>01-0</w:t>
            </w:r>
            <w:r>
              <w:t>1</w:t>
            </w:r>
          </w:p>
        </w:tc>
        <w:tc>
          <w:tcPr>
            <w:tcW w:w="3334" w:type="pct"/>
            <w:vAlign w:val="center"/>
          </w:tcPr>
          <w:p>
            <w:pPr>
              <w:rPr>
                <w:sz w:val="18"/>
                <w:szCs w:val="18"/>
              </w:rPr>
            </w:pPr>
            <w:r>
              <w:rPr>
                <w:rFonts w:hint="eastAsia"/>
                <w:b/>
                <w:bCs/>
                <w:sz w:val="18"/>
                <w:szCs w:val="18"/>
              </w:rPr>
              <w:t>硬件指标：</w:t>
            </w:r>
            <w:r>
              <w:rPr>
                <w:rFonts w:hint="eastAsia"/>
                <w:sz w:val="18"/>
                <w:szCs w:val="18"/>
              </w:rPr>
              <w:t>设备≥</w:t>
            </w:r>
            <w:r>
              <w:rPr>
                <w:sz w:val="18"/>
                <w:szCs w:val="18"/>
              </w:rPr>
              <w:t>1</w:t>
            </w:r>
            <w:r>
              <w:rPr>
                <w:rFonts w:hint="eastAsia"/>
                <w:sz w:val="18"/>
                <w:szCs w:val="18"/>
              </w:rPr>
              <w:t>U,内存≥4G，机械硬盘≥1T，千兆电口≥6个，整机吞吐率≥</w:t>
            </w:r>
            <w:r>
              <w:rPr>
                <w:sz w:val="18"/>
                <w:szCs w:val="18"/>
              </w:rPr>
              <w:t>8Gbps</w:t>
            </w:r>
            <w:r>
              <w:rPr>
                <w:rFonts w:hint="eastAsia"/>
                <w:sz w:val="18"/>
                <w:szCs w:val="18"/>
              </w:rPr>
              <w:t>，IPS吞吐率≥</w:t>
            </w:r>
            <w:r>
              <w:rPr>
                <w:sz w:val="18"/>
                <w:szCs w:val="18"/>
              </w:rPr>
              <w:t>2Gbps</w:t>
            </w:r>
            <w:r>
              <w:rPr>
                <w:rFonts w:hint="eastAsia"/>
                <w:sz w:val="18"/>
                <w:szCs w:val="18"/>
              </w:rPr>
              <w:t>，含1年攻击知识库升级许可,1年网站知识库升级许可。</w:t>
            </w:r>
          </w:p>
        </w:tc>
        <w:tc>
          <w:tcPr>
            <w:tcW w:w="504" w:type="pct"/>
          </w:tcPr>
          <w:p>
            <w:pPr>
              <w:jc w:val="center"/>
              <w:rPr>
                <w:szCs w:val="21"/>
              </w:rPr>
            </w:pPr>
            <w:r>
              <w:rPr>
                <w:szCs w:val="21"/>
              </w:rPr>
              <w:t>必须</w:t>
            </w:r>
          </w:p>
          <w:p>
            <w:pPr>
              <w:pStyle w:val="2"/>
              <w:jc w:val="center"/>
              <w:rPr>
                <w:szCs w:val="21"/>
              </w:rPr>
            </w:pPr>
            <w:r>
              <w:rPr>
                <w:rFonts w:hint="eastAsia" w:ascii="宋体" w:hAnsi="宋体" w:cs="宋体"/>
                <w:szCs w:val="21"/>
              </w:rPr>
              <w:t>★</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tcPr>
          <w:p>
            <w:pPr>
              <w:jc w:val="left"/>
            </w:pPr>
            <w:r>
              <w:t>URS</w:t>
            </w:r>
            <w:r>
              <w:rPr>
                <w:rFonts w:hint="eastAsia"/>
              </w:rPr>
              <w:t>01-0</w:t>
            </w:r>
            <w:r>
              <w:t>2</w:t>
            </w:r>
          </w:p>
        </w:tc>
        <w:tc>
          <w:tcPr>
            <w:tcW w:w="3334" w:type="pct"/>
            <w:vAlign w:val="center"/>
          </w:tcPr>
          <w:p>
            <w:pPr>
              <w:pStyle w:val="2"/>
            </w:pPr>
            <w:r>
              <w:rPr>
                <w:rFonts w:hint="eastAsia" w:ascii="宋体" w:hAnsi="宋体" w:cs="宋体"/>
                <w:b/>
                <w:bCs/>
                <w:sz w:val="18"/>
                <w:szCs w:val="18"/>
              </w:rPr>
              <w:t>软件要求：</w:t>
            </w:r>
            <w:r>
              <w:rPr>
                <w:rFonts w:hint="eastAsia" w:ascii="宋体" w:hAnsi="宋体" w:cs="宋体"/>
                <w:sz w:val="18"/>
                <w:szCs w:val="18"/>
              </w:rPr>
              <w:t>1.★</w:t>
            </w:r>
            <w:r>
              <w:rPr>
                <w:rFonts w:hint="eastAsia"/>
                <w:sz w:val="18"/>
                <w:szCs w:val="18"/>
              </w:rPr>
              <w:t>支持多操作系统引导，出于安全性考虑，多系统需在设备启动过程中进行选择，不得在WEB维护界面中设置系统切换选项；2.</w:t>
            </w:r>
            <w:r>
              <w:rPr>
                <w:rFonts w:hint="eastAsia" w:ascii="宋体" w:hAnsi="宋体" w:cs="宋体"/>
                <w:sz w:val="18"/>
                <w:szCs w:val="18"/>
              </w:rPr>
              <w:t>★</w:t>
            </w:r>
            <w:r>
              <w:rPr>
                <w:rFonts w:hint="eastAsia"/>
                <w:sz w:val="18"/>
                <w:szCs w:val="18"/>
              </w:rPr>
              <w:t>设备采用“一种建立多核运行环境的方法”，可以使设备具有较高的性能</w:t>
            </w:r>
          </w:p>
        </w:tc>
        <w:tc>
          <w:tcPr>
            <w:tcW w:w="504" w:type="pct"/>
          </w:tcPr>
          <w:p>
            <w:pPr>
              <w:jc w:val="center"/>
              <w:rPr>
                <w:szCs w:val="21"/>
              </w:rPr>
            </w:pPr>
            <w:r>
              <w:rPr>
                <w:szCs w:val="21"/>
              </w:rPr>
              <w:t>必须</w:t>
            </w:r>
          </w:p>
          <w:p>
            <w:pPr>
              <w:pStyle w:val="2"/>
              <w:jc w:val="center"/>
              <w:rPr>
                <w:szCs w:val="21"/>
              </w:rPr>
            </w:pPr>
            <w:r>
              <w:rPr>
                <w:rFonts w:hint="eastAsia" w:ascii="宋体" w:hAnsi="宋体" w:cs="宋体"/>
                <w:szCs w:val="21"/>
              </w:rPr>
              <w:t>★</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pPr>
              <w:jc w:val="center"/>
            </w:pPr>
            <w:r>
              <w:t>URS</w:t>
            </w:r>
            <w:r>
              <w:rPr>
                <w:rFonts w:hint="eastAsia"/>
              </w:rPr>
              <w:t>01-0</w:t>
            </w:r>
            <w:r>
              <w:t>3</w:t>
            </w:r>
          </w:p>
        </w:tc>
        <w:tc>
          <w:tcPr>
            <w:tcW w:w="3334" w:type="pct"/>
            <w:vAlign w:val="center"/>
          </w:tcPr>
          <w:p>
            <w:pPr>
              <w:rPr>
                <w:szCs w:val="21"/>
              </w:rPr>
            </w:pPr>
            <w:r>
              <w:rPr>
                <w:rFonts w:hint="eastAsia"/>
                <w:b/>
                <w:bCs/>
                <w:sz w:val="18"/>
                <w:szCs w:val="18"/>
              </w:rPr>
              <w:t>系统联动：</w:t>
            </w:r>
            <w:r>
              <w:rPr>
                <w:rFonts w:hint="eastAsia"/>
                <w:sz w:val="18"/>
                <w:szCs w:val="18"/>
              </w:rPr>
              <w:t>★支持与防火墙联动，自动在防火墙上生成相关策略，阻断攻击。</w:t>
            </w:r>
          </w:p>
        </w:tc>
        <w:tc>
          <w:tcPr>
            <w:tcW w:w="504" w:type="pct"/>
            <w:vAlign w:val="center"/>
          </w:tcPr>
          <w:p>
            <w:pPr>
              <w:jc w:val="center"/>
              <w:rPr>
                <w:szCs w:val="21"/>
              </w:rPr>
            </w:pPr>
            <w:r>
              <w:rPr>
                <w:rFonts w:hint="eastAsia"/>
                <w:szCs w:val="21"/>
              </w:rPr>
              <w:t>必须</w:t>
            </w:r>
          </w:p>
          <w:p>
            <w:pPr>
              <w:pStyle w:val="2"/>
              <w:jc w:val="center"/>
              <w:rPr>
                <w:szCs w:val="21"/>
              </w:rPr>
            </w:pPr>
            <w:r>
              <w:rPr>
                <w:rFonts w:hint="eastAsia" w:ascii="宋体" w:hAnsi="宋体" w:cs="宋体"/>
                <w:szCs w:val="21"/>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tcPr>
          <w:p>
            <w:pPr>
              <w:jc w:val="left"/>
            </w:pPr>
            <w:r>
              <w:t>URS</w:t>
            </w:r>
            <w:r>
              <w:rPr>
                <w:rFonts w:hint="eastAsia"/>
              </w:rPr>
              <w:t>01-0</w:t>
            </w:r>
            <w:r>
              <w:t>4</w:t>
            </w:r>
          </w:p>
        </w:tc>
        <w:tc>
          <w:tcPr>
            <w:tcW w:w="3334" w:type="pct"/>
          </w:tcPr>
          <w:p>
            <w:pPr>
              <w:rPr>
                <w:sz w:val="18"/>
                <w:szCs w:val="18"/>
              </w:rPr>
            </w:pPr>
            <w:r>
              <w:rPr>
                <w:rFonts w:hint="eastAsia"/>
                <w:b/>
                <w:bCs/>
                <w:sz w:val="18"/>
                <w:szCs w:val="18"/>
              </w:rPr>
              <w:t>流量采集：</w:t>
            </w:r>
            <w:r>
              <w:rPr>
                <w:rFonts w:hint="eastAsia"/>
                <w:sz w:val="18"/>
                <w:szCs w:val="18"/>
              </w:rPr>
              <w:t>1.★支持流量采集功能，支持在设备界面对服务器地址、端口、以及采样百分比进行设置。2.</w:t>
            </w:r>
            <w:r>
              <w:rPr>
                <w:rFonts w:hint="eastAsia"/>
              </w:rPr>
              <w:t xml:space="preserve"> </w:t>
            </w:r>
            <w:r>
              <w:rPr>
                <w:rFonts w:hint="eastAsia"/>
                <w:sz w:val="18"/>
                <w:szCs w:val="18"/>
              </w:rPr>
              <w:t>★支持流量采集策略设置，对流量采集的方向、时间、源IP地址、目的IP地址、源端口、目的端口进行设置。</w:t>
            </w:r>
          </w:p>
        </w:tc>
        <w:tc>
          <w:tcPr>
            <w:tcW w:w="504" w:type="pct"/>
          </w:tcPr>
          <w:p>
            <w:pPr>
              <w:jc w:val="center"/>
              <w:rPr>
                <w:szCs w:val="21"/>
              </w:rPr>
            </w:pPr>
            <w:r>
              <w:rPr>
                <w:szCs w:val="21"/>
              </w:rPr>
              <w:t>必须</w:t>
            </w:r>
          </w:p>
          <w:p>
            <w:pPr>
              <w:pStyle w:val="2"/>
              <w:jc w:val="center"/>
              <w:rPr>
                <w:szCs w:val="21"/>
              </w:rPr>
            </w:pPr>
            <w:r>
              <w:rPr>
                <w:rFonts w:hint="eastAsia" w:ascii="宋体" w:hAnsi="宋体" w:cs="宋体"/>
                <w:szCs w:val="21"/>
              </w:rPr>
              <w:t>★</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01-0</w:t>
            </w:r>
            <w:r>
              <w:t>5</w:t>
            </w:r>
          </w:p>
        </w:tc>
        <w:tc>
          <w:tcPr>
            <w:tcW w:w="3334" w:type="pct"/>
            <w:vAlign w:val="center"/>
          </w:tcPr>
          <w:p>
            <w:pPr>
              <w:widowControl/>
              <w:rPr>
                <w:sz w:val="18"/>
                <w:szCs w:val="18"/>
              </w:rPr>
            </w:pPr>
            <w:r>
              <w:rPr>
                <w:rFonts w:hint="eastAsia"/>
                <w:b/>
                <w:bCs/>
                <w:sz w:val="18"/>
                <w:szCs w:val="18"/>
              </w:rPr>
              <w:t>入侵防御功能：</w:t>
            </w:r>
            <w:r>
              <w:rPr>
                <w:rFonts w:hint="eastAsia"/>
                <w:sz w:val="18"/>
                <w:szCs w:val="18"/>
              </w:rPr>
              <w:t>1.系统应具备：融合模式匹配、协议分析、异常检测、会话关联分析，逃逸等多种技术，准确识别入侵攻击行为，为用户提供2~7层深度入侵防御。2. 要求支持丢弃报文、记录日志、禁止连接、TCP reset结束TCP会话等多种响应动作3. 要求支持自定义攻击检测规则。4. 要求支持黑名单，将攻击源加入黑名单，一段时间内禁止访问5. 应涵盖广泛的攻击特征库、能够针对4100种以上攻击的攻击行为、异常事件，以及网络资源滥用流量，进行检测和防御。</w:t>
            </w:r>
          </w:p>
          <w:p>
            <w:pPr>
              <w:pStyle w:val="2"/>
              <w:rPr>
                <w:sz w:val="18"/>
                <w:szCs w:val="18"/>
              </w:rPr>
            </w:pPr>
            <w:r>
              <w:rPr>
                <w:rFonts w:hint="eastAsia"/>
                <w:sz w:val="18"/>
                <w:szCs w:val="18"/>
              </w:rPr>
              <w:t>6. 要求能够检测包括溢出攻击类、RPC攻击类、WEBCGI攻击类、拒绝服务类、木马类、蠕虫类、扫描类、网络访问类、HTTP攻击类、系统漏洞类等在内的超过4100种攻击事件。7.</w:t>
            </w:r>
            <w:r>
              <w:rPr>
                <w:rFonts w:hint="eastAsia"/>
              </w:rPr>
              <w:t xml:space="preserve"> </w:t>
            </w:r>
            <w:r>
              <w:rPr>
                <w:rFonts w:hint="eastAsia"/>
                <w:sz w:val="18"/>
                <w:szCs w:val="18"/>
              </w:rPr>
              <w:t>★支持自定义规则，并且自定义规则库可以导入导出8.</w:t>
            </w:r>
            <w:r>
              <w:rPr>
                <w:rFonts w:hint="eastAsia"/>
              </w:rPr>
              <w:t xml:space="preserve"> </w:t>
            </w:r>
            <w:r>
              <w:rPr>
                <w:rFonts w:hint="eastAsia"/>
                <w:sz w:val="18"/>
                <w:szCs w:val="18"/>
              </w:rPr>
              <w:t>★要求支持攻击报文取证功能，检测到攻击事件后将原始报文完整记录下来，作为电子证据。9.</w:t>
            </w:r>
            <w:r>
              <w:rPr>
                <w:rFonts w:hint="eastAsia"/>
              </w:rPr>
              <w:t xml:space="preserve"> </w:t>
            </w:r>
            <w:r>
              <w:rPr>
                <w:rFonts w:hint="eastAsia"/>
                <w:sz w:val="18"/>
                <w:szCs w:val="18"/>
              </w:rPr>
              <w:t>★支持对协议组的流量阀值和连接数进行设置及报警，协议组类型包括P2P类、即时通讯类、标准协议类、移动应用类、http应用类、工控互联网类等。10.</w:t>
            </w:r>
            <w:r>
              <w:rPr>
                <w:rFonts w:hint="eastAsia"/>
              </w:rPr>
              <w:t xml:space="preserve"> </w:t>
            </w:r>
            <w:r>
              <w:rPr>
                <w:rFonts w:hint="eastAsia"/>
                <w:sz w:val="18"/>
                <w:szCs w:val="18"/>
              </w:rPr>
              <w:t>★系统应支持多种形式的日志存储，本地存储、发送至日志服务器、本地日志服务器双存储、自动方式判断日志服务器状态自动决定日志的记录方式。11.</w:t>
            </w:r>
            <w:r>
              <w:rPr>
                <w:rFonts w:hint="eastAsia"/>
              </w:rPr>
              <w:t xml:space="preserve"> </w:t>
            </w:r>
            <w:r>
              <w:rPr>
                <w:rFonts w:hint="eastAsia"/>
                <w:sz w:val="18"/>
                <w:szCs w:val="18"/>
              </w:rPr>
              <w:t>★系统支持攻击检测日志中可以直观的展示攻击事件中的攻击特征编码。12.</w:t>
            </w:r>
            <w:r>
              <w:rPr>
                <w:rFonts w:hint="eastAsia"/>
              </w:rPr>
              <w:t xml:space="preserve"> </w:t>
            </w:r>
            <w:r>
              <w:rPr>
                <w:rFonts w:hint="eastAsia"/>
                <w:sz w:val="18"/>
                <w:szCs w:val="18"/>
              </w:rPr>
              <w:t>★支持外发日志服务器时，自定义字符编码格式GBK/UTF8。</w:t>
            </w:r>
          </w:p>
        </w:tc>
        <w:tc>
          <w:tcPr>
            <w:tcW w:w="504" w:type="pct"/>
            <w:vAlign w:val="center"/>
          </w:tcPr>
          <w:p>
            <w:pPr>
              <w:jc w:val="center"/>
              <w:rPr>
                <w:szCs w:val="21"/>
              </w:rPr>
            </w:pPr>
            <w:r>
              <w:rPr>
                <w:szCs w:val="21"/>
              </w:rPr>
              <w:t>必须</w:t>
            </w:r>
          </w:p>
          <w:p>
            <w:pPr>
              <w:pStyle w:val="2"/>
              <w:jc w:val="center"/>
              <w:rPr>
                <w:szCs w:val="21"/>
              </w:rPr>
            </w:pPr>
            <w:r>
              <w:rPr>
                <w:rFonts w:hint="eastAsia" w:ascii="宋体" w:hAnsi="宋体" w:cs="宋体"/>
                <w:szCs w:val="21"/>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8" w:type="pct"/>
            <w:gridSpan w:val="3"/>
            <w:vAlign w:val="center"/>
          </w:tcPr>
          <w:p>
            <w:pPr>
              <w:jc w:val="center"/>
              <w:rPr>
                <w:b/>
                <w:bCs/>
              </w:rPr>
            </w:pPr>
            <w:r>
              <w:rPr>
                <w:rFonts w:hint="eastAsia"/>
                <w:b/>
                <w:bCs/>
              </w:rPr>
              <w:t>2.日志收集与分析系统</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02-01</w:t>
            </w:r>
          </w:p>
        </w:tc>
        <w:tc>
          <w:tcPr>
            <w:tcW w:w="3334" w:type="pct"/>
            <w:vAlign w:val="center"/>
          </w:tcPr>
          <w:p>
            <w:pPr>
              <w:rPr>
                <w:szCs w:val="21"/>
              </w:rPr>
            </w:pPr>
            <w:r>
              <w:rPr>
                <w:rFonts w:hint="eastAsia"/>
                <w:b/>
                <w:bCs/>
                <w:sz w:val="18"/>
                <w:szCs w:val="18"/>
              </w:rPr>
              <w:t>硬件指标：</w:t>
            </w:r>
            <w:r>
              <w:rPr>
                <w:rFonts w:hint="eastAsia"/>
                <w:sz w:val="18"/>
                <w:szCs w:val="18"/>
              </w:rPr>
              <w:t>设备≥1U,内存≥16G，系统盘≥120G固态硬盘，数据盘≥2T机械硬盘，千兆电口≥6个，千兆光口≥2个，冗余电源,扩展槽位≥2个, 日志采集处理速度≥1000EPS；包含不低于30个日志源授权。</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02-02</w:t>
            </w:r>
          </w:p>
        </w:tc>
        <w:tc>
          <w:tcPr>
            <w:tcW w:w="3334" w:type="pct"/>
            <w:vAlign w:val="center"/>
          </w:tcPr>
          <w:p>
            <w:pPr>
              <w:rPr>
                <w:sz w:val="18"/>
                <w:szCs w:val="18"/>
              </w:rPr>
            </w:pPr>
            <w:r>
              <w:rPr>
                <w:b/>
                <w:bCs/>
                <w:sz w:val="18"/>
                <w:szCs w:val="18"/>
              </w:rPr>
              <w:t>系统部署</w:t>
            </w:r>
            <w:r>
              <w:rPr>
                <w:rFonts w:hint="eastAsia"/>
                <w:b/>
                <w:bCs/>
                <w:sz w:val="18"/>
                <w:szCs w:val="18"/>
              </w:rPr>
              <w:t>：</w:t>
            </w:r>
            <w:r>
              <w:rPr>
                <w:rFonts w:hint="eastAsia"/>
                <w:sz w:val="18"/>
                <w:szCs w:val="18"/>
              </w:rPr>
              <w:t>支持单级部署、支持多级部署；</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02-03</w:t>
            </w:r>
          </w:p>
        </w:tc>
        <w:tc>
          <w:tcPr>
            <w:tcW w:w="3334" w:type="pct"/>
            <w:vAlign w:val="center"/>
          </w:tcPr>
          <w:p>
            <w:pPr>
              <w:rPr>
                <w:b/>
                <w:bCs/>
                <w:sz w:val="18"/>
                <w:szCs w:val="18"/>
              </w:rPr>
            </w:pPr>
            <w:r>
              <w:rPr>
                <w:b/>
                <w:bCs/>
                <w:sz w:val="18"/>
                <w:szCs w:val="18"/>
              </w:rPr>
              <w:t>系统性能</w:t>
            </w:r>
            <w:r>
              <w:rPr>
                <w:rFonts w:hint="eastAsia"/>
                <w:b/>
                <w:bCs/>
                <w:sz w:val="18"/>
                <w:szCs w:val="18"/>
              </w:rPr>
              <w:t>：</w:t>
            </w:r>
          </w:p>
          <w:p>
            <w:pPr>
              <w:rPr>
                <w:sz w:val="18"/>
                <w:szCs w:val="18"/>
              </w:rPr>
            </w:pPr>
            <w:r>
              <w:rPr>
                <w:rFonts w:hint="eastAsia"/>
                <w:sz w:val="18"/>
                <w:szCs w:val="18"/>
              </w:rPr>
              <w:t>日志采集峰值：35000EPS</w:t>
            </w:r>
          </w:p>
          <w:p>
            <w:pPr>
              <w:rPr>
                <w:sz w:val="18"/>
                <w:szCs w:val="18"/>
              </w:rPr>
            </w:pPr>
            <w:r>
              <w:rPr>
                <w:rFonts w:hint="eastAsia"/>
                <w:sz w:val="18"/>
                <w:szCs w:val="18"/>
              </w:rPr>
              <w:t>日志采集均值：20000EPS</w:t>
            </w:r>
          </w:p>
          <w:p>
            <w:pPr>
              <w:rPr>
                <w:sz w:val="18"/>
                <w:szCs w:val="18"/>
              </w:rPr>
            </w:pPr>
            <w:r>
              <w:rPr>
                <w:rFonts w:hint="eastAsia"/>
                <w:sz w:val="18"/>
                <w:szCs w:val="18"/>
              </w:rPr>
              <w:t>综合处理峰值：35000EPS</w:t>
            </w:r>
          </w:p>
          <w:p>
            <w:pPr>
              <w:rPr>
                <w:sz w:val="18"/>
                <w:szCs w:val="18"/>
              </w:rPr>
            </w:pPr>
            <w:r>
              <w:rPr>
                <w:rFonts w:hint="eastAsia"/>
                <w:sz w:val="18"/>
                <w:szCs w:val="18"/>
              </w:rPr>
              <w:t>综合处理均值：20000EPS</w:t>
            </w:r>
          </w:p>
          <w:p>
            <w:pPr>
              <w:rPr>
                <w:sz w:val="18"/>
                <w:szCs w:val="18"/>
              </w:rPr>
            </w:pPr>
            <w:r>
              <w:rPr>
                <w:rFonts w:hint="eastAsia"/>
                <w:sz w:val="18"/>
                <w:szCs w:val="18"/>
              </w:rPr>
              <w:t>数据存储能力：支持大数据存储；压缩加密存储，压缩比不低于10:1；日志存储不低于20000条/M</w:t>
            </w:r>
          </w:p>
          <w:p>
            <w:pPr>
              <w:rPr>
                <w:b/>
                <w:bCs/>
                <w:szCs w:val="21"/>
              </w:rPr>
            </w:pPr>
            <w:r>
              <w:rPr>
                <w:rFonts w:hint="eastAsia"/>
                <w:sz w:val="18"/>
                <w:szCs w:val="18"/>
              </w:rPr>
              <w:t>★支持BT级数据交互式多条件查询,百亿级数据查询结果返回延时小于10s。</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02-04</w:t>
            </w:r>
          </w:p>
        </w:tc>
        <w:tc>
          <w:tcPr>
            <w:tcW w:w="3334" w:type="pct"/>
            <w:vAlign w:val="center"/>
          </w:tcPr>
          <w:p>
            <w:pPr>
              <w:rPr>
                <w:sz w:val="18"/>
                <w:szCs w:val="18"/>
              </w:rPr>
            </w:pPr>
            <w:r>
              <w:rPr>
                <w:b/>
                <w:bCs/>
                <w:sz w:val="18"/>
                <w:szCs w:val="18"/>
              </w:rPr>
              <w:t>数据采集</w:t>
            </w:r>
            <w:r>
              <w:rPr>
                <w:rFonts w:hint="eastAsia"/>
                <w:b/>
                <w:bCs/>
                <w:sz w:val="18"/>
                <w:szCs w:val="18"/>
              </w:rPr>
              <w:t>：</w:t>
            </w:r>
            <w:r>
              <w:rPr>
                <w:rFonts w:hint="eastAsia"/>
                <w:sz w:val="18"/>
                <w:szCs w:val="18"/>
              </w:rPr>
              <w:t>支持安全设备、网络设备、中间件、服务器、数据库、操作系统、业务系统等不少于26类300种日志对象的日志数据采集。</w:t>
            </w:r>
          </w:p>
          <w:p>
            <w:pPr>
              <w:rPr>
                <w:sz w:val="18"/>
                <w:szCs w:val="18"/>
              </w:rPr>
            </w:pPr>
            <w:r>
              <w:rPr>
                <w:rFonts w:hint="eastAsia"/>
                <w:sz w:val="18"/>
                <w:szCs w:val="18"/>
              </w:rPr>
              <w:t>支持实时自动刷新每个日志源的实时日志列表，支持在实时日志界面通过选择过滤器来监视所关注的特定类型的日志；</w:t>
            </w:r>
          </w:p>
          <w:p>
            <w:pPr>
              <w:rPr>
                <w:sz w:val="18"/>
                <w:szCs w:val="18"/>
              </w:rPr>
            </w:pPr>
            <w:r>
              <w:rPr>
                <w:rFonts w:hint="eastAsia"/>
                <w:sz w:val="18"/>
                <w:szCs w:val="18"/>
              </w:rPr>
              <w:t>支持首页展示日志采集总量统计，可按不同日志源种类分类显示日志总量及大小，并支持导出；</w:t>
            </w:r>
          </w:p>
          <w:p>
            <w:pPr>
              <w:rPr>
                <w:sz w:val="18"/>
                <w:szCs w:val="18"/>
              </w:rPr>
            </w:pPr>
            <w:r>
              <w:rPr>
                <w:rFonts w:hint="eastAsia"/>
                <w:sz w:val="18"/>
                <w:szCs w:val="18"/>
              </w:rPr>
              <w:t>支持独立展示每个被采集源最近24小时的日志数量趋势，便于掌握设备的安全事件情况，支持独立展示每个设备日志的最新采集时间，便于了解设备日志的采集状态；</w:t>
            </w:r>
          </w:p>
          <w:p>
            <w:pPr>
              <w:rPr>
                <w:sz w:val="18"/>
                <w:szCs w:val="18"/>
              </w:rPr>
            </w:pPr>
            <w:r>
              <w:rPr>
                <w:rFonts w:hint="eastAsia"/>
                <w:sz w:val="18"/>
                <w:szCs w:val="18"/>
              </w:rPr>
              <w:t xml:space="preserve">★支持对日志流量非常大但是日志重要程度低的syslog类型日志源进行限制接收速率，降低对系统资源的占用，保障重要日志的收集； </w:t>
            </w:r>
          </w:p>
          <w:p>
            <w:pPr>
              <w:rPr>
                <w:b/>
                <w:bCs/>
                <w:szCs w:val="21"/>
              </w:rPr>
            </w:pPr>
            <w:r>
              <w:rPr>
                <w:rFonts w:hint="eastAsia"/>
                <w:sz w:val="18"/>
                <w:szCs w:val="18"/>
              </w:rPr>
              <w:t>★支持IPv6/IPv4双栈环境部署，对IPv6/IPv4日志源的日志进行高速采集；</w:t>
            </w:r>
            <w:r>
              <w:rPr>
                <w:b/>
                <w:bCs/>
                <w:szCs w:val="21"/>
              </w:rPr>
              <w:t xml:space="preserve"> </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02-05</w:t>
            </w:r>
          </w:p>
        </w:tc>
        <w:tc>
          <w:tcPr>
            <w:tcW w:w="3334" w:type="pct"/>
            <w:vAlign w:val="center"/>
          </w:tcPr>
          <w:p>
            <w:pPr>
              <w:rPr>
                <w:b/>
                <w:bCs/>
                <w:sz w:val="18"/>
                <w:szCs w:val="18"/>
              </w:rPr>
            </w:pPr>
            <w:r>
              <w:rPr>
                <w:b/>
                <w:bCs/>
                <w:sz w:val="18"/>
                <w:szCs w:val="18"/>
              </w:rPr>
              <w:t>数据存储</w:t>
            </w:r>
            <w:r>
              <w:rPr>
                <w:rFonts w:hint="eastAsia"/>
                <w:b/>
                <w:bCs/>
                <w:sz w:val="18"/>
                <w:szCs w:val="18"/>
              </w:rPr>
              <w:t>：</w:t>
            </w:r>
          </w:p>
          <w:p>
            <w:pPr>
              <w:rPr>
                <w:sz w:val="18"/>
                <w:szCs w:val="18"/>
              </w:rPr>
            </w:pPr>
            <w:r>
              <w:rPr>
                <w:rFonts w:hint="eastAsia"/>
                <w:sz w:val="18"/>
                <w:szCs w:val="18"/>
              </w:rPr>
              <w:t xml:space="preserve">★支持根据设备重要程度设置独立设置每个被采集源的日志、报表数据存储时间为1个月、3个月、6个月和永久保存等参数； </w:t>
            </w:r>
          </w:p>
          <w:p>
            <w:pPr>
              <w:rPr>
                <w:sz w:val="18"/>
                <w:szCs w:val="18"/>
              </w:rPr>
            </w:pPr>
            <w:r>
              <w:rPr>
                <w:rFonts w:hint="eastAsia"/>
                <w:sz w:val="18"/>
                <w:szCs w:val="18"/>
              </w:rPr>
              <w:t>支持自定义存储位置，支持多盘并行存储，当磁盘满后自动切换存储位置，支持磁盘阵列、SAN、DAS等外部高性能存储；</w:t>
            </w:r>
          </w:p>
          <w:p>
            <w:pPr>
              <w:rPr>
                <w:b/>
                <w:bCs/>
                <w:sz w:val="18"/>
                <w:szCs w:val="18"/>
              </w:rPr>
            </w:pPr>
            <w:r>
              <w:rPr>
                <w:rFonts w:hint="eastAsia"/>
                <w:sz w:val="18"/>
                <w:szCs w:val="18"/>
              </w:rPr>
              <w:t>★支持IPv6日志的全量存储；</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02-06</w:t>
            </w:r>
          </w:p>
        </w:tc>
        <w:tc>
          <w:tcPr>
            <w:tcW w:w="3334" w:type="pct"/>
            <w:vAlign w:val="center"/>
          </w:tcPr>
          <w:p>
            <w:pPr>
              <w:rPr>
                <w:b/>
                <w:bCs/>
                <w:sz w:val="18"/>
                <w:szCs w:val="18"/>
              </w:rPr>
            </w:pPr>
            <w:r>
              <w:rPr>
                <w:rFonts w:hint="eastAsia"/>
                <w:b/>
                <w:bCs/>
                <w:sz w:val="18"/>
                <w:szCs w:val="18"/>
              </w:rPr>
              <w:t>数据查询：</w:t>
            </w:r>
          </w:p>
          <w:p>
            <w:pPr>
              <w:pStyle w:val="2"/>
              <w:rPr>
                <w:sz w:val="18"/>
                <w:szCs w:val="18"/>
              </w:rPr>
            </w:pPr>
            <w:r>
              <w:rPr>
                <w:rFonts w:hint="eastAsia"/>
                <w:sz w:val="18"/>
                <w:szCs w:val="18"/>
              </w:rPr>
              <w:t>支持首页以全国地图、全球地图展示最近24小时日志访问源和访问目的的分布，能根据颜色区分访问来源和访问目的数据量大小，能够通过首页地图快速下钻查询指定区域的日志详细信息；</w:t>
            </w:r>
          </w:p>
          <w:p>
            <w:pPr>
              <w:pStyle w:val="2"/>
            </w:pPr>
            <w:r>
              <w:rPr>
                <w:rFonts w:hint="eastAsia"/>
                <w:sz w:val="18"/>
                <w:szCs w:val="18"/>
              </w:rPr>
              <w:t>★支持为不同类型日志设置不同的查询条件和显示条件。</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02-07</w:t>
            </w:r>
          </w:p>
        </w:tc>
        <w:tc>
          <w:tcPr>
            <w:tcW w:w="3334" w:type="pct"/>
            <w:vAlign w:val="center"/>
          </w:tcPr>
          <w:p>
            <w:pPr>
              <w:rPr>
                <w:b/>
                <w:bCs/>
                <w:sz w:val="18"/>
                <w:szCs w:val="18"/>
              </w:rPr>
            </w:pPr>
            <w:r>
              <w:rPr>
                <w:rFonts w:hint="eastAsia"/>
                <w:b/>
                <w:bCs/>
                <w:sz w:val="18"/>
                <w:szCs w:val="18"/>
              </w:rPr>
              <w:t>告警管理：</w:t>
            </w:r>
          </w:p>
          <w:p>
            <w:pPr>
              <w:rPr>
                <w:sz w:val="18"/>
                <w:szCs w:val="18"/>
              </w:rPr>
            </w:pPr>
            <w:r>
              <w:rPr>
                <w:rFonts w:hint="eastAsia"/>
                <w:sz w:val="18"/>
                <w:szCs w:val="18"/>
              </w:rPr>
              <w:t>支持实时告警展示，可根据告警规则、告警级别两个维度进行实时告警监视，并可对刷新事件间隔进行设定；</w:t>
            </w:r>
          </w:p>
          <w:p>
            <w:pPr>
              <w:rPr>
                <w:sz w:val="18"/>
                <w:szCs w:val="18"/>
              </w:rPr>
            </w:pPr>
            <w:r>
              <w:rPr>
                <w:rFonts w:hint="eastAsia"/>
                <w:sz w:val="18"/>
                <w:szCs w:val="18"/>
              </w:rPr>
              <w:t>★支持基于时间轴展示告警数据分布，能够通过时间轴进行查询分析；</w:t>
            </w:r>
            <w:r>
              <w:rPr>
                <w:sz w:val="18"/>
                <w:szCs w:val="18"/>
              </w:rPr>
              <w:t xml:space="preserve"> </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02-08</w:t>
            </w:r>
          </w:p>
        </w:tc>
        <w:tc>
          <w:tcPr>
            <w:tcW w:w="3334" w:type="pct"/>
            <w:vAlign w:val="center"/>
          </w:tcPr>
          <w:p>
            <w:pPr>
              <w:rPr>
                <w:b/>
                <w:bCs/>
                <w:sz w:val="18"/>
                <w:szCs w:val="18"/>
              </w:rPr>
            </w:pPr>
            <w:r>
              <w:rPr>
                <w:rFonts w:hint="eastAsia"/>
                <w:b/>
                <w:bCs/>
                <w:sz w:val="18"/>
                <w:szCs w:val="18"/>
              </w:rPr>
              <w:t>告警响应：</w:t>
            </w:r>
          </w:p>
          <w:p>
            <w:pPr>
              <w:pStyle w:val="2"/>
              <w:rPr>
                <w:sz w:val="18"/>
                <w:szCs w:val="18"/>
              </w:rPr>
            </w:pPr>
            <w:r>
              <w:rPr>
                <w:rFonts w:hint="eastAsia"/>
                <w:sz w:val="18"/>
                <w:szCs w:val="18"/>
              </w:rPr>
              <w:t>支持邮件、Snmp Trap、声音、声光、短信、一信通响应、数据库响应等多种告警方式，支持报警内容引用字段变量参数。</w:t>
            </w:r>
          </w:p>
        </w:tc>
        <w:tc>
          <w:tcPr>
            <w:tcW w:w="504" w:type="pct"/>
            <w:vAlign w:val="center"/>
          </w:tcPr>
          <w:p>
            <w:pPr>
              <w:jc w:val="center"/>
            </w:pPr>
            <w:r>
              <w:rPr>
                <w:rFonts w:hint="eastAsia"/>
              </w:rPr>
              <w:t>必须</w:t>
            </w:r>
          </w:p>
          <w:p>
            <w:pPr>
              <w:jc w:val="center"/>
            </w:pP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02-09</w:t>
            </w:r>
          </w:p>
        </w:tc>
        <w:tc>
          <w:tcPr>
            <w:tcW w:w="3334" w:type="pct"/>
            <w:vAlign w:val="center"/>
          </w:tcPr>
          <w:p>
            <w:pPr>
              <w:rPr>
                <w:b/>
                <w:bCs/>
                <w:sz w:val="18"/>
                <w:szCs w:val="18"/>
              </w:rPr>
            </w:pPr>
            <w:r>
              <w:rPr>
                <w:b/>
                <w:bCs/>
                <w:sz w:val="18"/>
                <w:szCs w:val="18"/>
              </w:rPr>
              <w:t>统计报表管理</w:t>
            </w:r>
            <w:r>
              <w:rPr>
                <w:rFonts w:hint="eastAsia"/>
                <w:b/>
                <w:bCs/>
                <w:sz w:val="18"/>
                <w:szCs w:val="18"/>
              </w:rPr>
              <w:t>：</w:t>
            </w:r>
          </w:p>
          <w:p>
            <w:pPr>
              <w:pStyle w:val="2"/>
            </w:pPr>
            <w:r>
              <w:rPr>
                <w:rFonts w:hint="eastAsia" w:ascii="宋体" w:hAnsi="宋体" w:cs="宋体"/>
                <w:sz w:val="18"/>
                <w:szCs w:val="18"/>
              </w:rPr>
              <w:t>★</w:t>
            </w:r>
            <w:r>
              <w:rPr>
                <w:rFonts w:hint="eastAsia" w:asciiTheme="minorHAnsi" w:hAnsiTheme="minorHAnsi" w:eastAsiaTheme="minorEastAsia"/>
                <w:sz w:val="18"/>
                <w:szCs w:val="18"/>
              </w:rPr>
              <w:t>系统内置上百种报表模版，支持自动实现智能报表创建，每添加一个日志源，系统自动分析日志源类型进行相应报表创建，无需人工干预，报表和资产一一对应；</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02-10</w:t>
            </w:r>
          </w:p>
        </w:tc>
        <w:tc>
          <w:tcPr>
            <w:tcW w:w="3334" w:type="pct"/>
            <w:vAlign w:val="center"/>
          </w:tcPr>
          <w:p>
            <w:pPr>
              <w:rPr>
                <w:b/>
                <w:bCs/>
                <w:sz w:val="18"/>
                <w:szCs w:val="18"/>
              </w:rPr>
            </w:pPr>
            <w:r>
              <w:rPr>
                <w:b/>
                <w:bCs/>
                <w:sz w:val="18"/>
                <w:szCs w:val="18"/>
              </w:rPr>
              <w:t>日志源管理</w:t>
            </w:r>
            <w:r>
              <w:rPr>
                <w:rFonts w:hint="eastAsia"/>
                <w:b/>
                <w:bCs/>
                <w:sz w:val="18"/>
                <w:szCs w:val="18"/>
              </w:rPr>
              <w:t>：</w:t>
            </w:r>
          </w:p>
          <w:p>
            <w:pPr>
              <w:pStyle w:val="2"/>
              <w:rPr>
                <w:sz w:val="18"/>
                <w:szCs w:val="18"/>
              </w:rPr>
            </w:pPr>
            <w:r>
              <w:rPr>
                <w:rFonts w:hint="eastAsia"/>
                <w:sz w:val="18"/>
                <w:szCs w:val="18"/>
              </w:rPr>
              <w:t>支持按照日志源名称、IP地址、日志源类型、接受时间及状态等维度对日志源列表进行排序；</w:t>
            </w:r>
          </w:p>
          <w:p>
            <w:pPr>
              <w:pStyle w:val="2"/>
              <w:rPr>
                <w:sz w:val="18"/>
                <w:szCs w:val="18"/>
              </w:rPr>
            </w:pPr>
            <w:r>
              <w:rPr>
                <w:rFonts w:hint="eastAsia"/>
                <w:sz w:val="18"/>
                <w:szCs w:val="18"/>
              </w:rPr>
              <w:t>支持为日志源指定类型、名称、IP地址、收集节点、收集方式、以及日志源启停状态等属性信息；</w:t>
            </w:r>
          </w:p>
          <w:p>
            <w:pPr>
              <w:pStyle w:val="2"/>
            </w:pPr>
            <w:r>
              <w:rPr>
                <w:rFonts w:hint="eastAsia"/>
                <w:sz w:val="18"/>
                <w:szCs w:val="18"/>
              </w:rPr>
              <w:t>★支持对重点日志源的关注设置，并可通过关注列表快速查看重点日志源的状态、当日日志量、采集日志总量、最近接收时间、业务组等基础信息；</w:t>
            </w:r>
            <w:r>
              <w:rPr>
                <w:rFonts w:hint="eastAsia"/>
              </w:rPr>
              <w:t xml:space="preserve"> </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02-11</w:t>
            </w:r>
          </w:p>
        </w:tc>
        <w:tc>
          <w:tcPr>
            <w:tcW w:w="3334" w:type="pct"/>
            <w:vAlign w:val="center"/>
          </w:tcPr>
          <w:p>
            <w:pPr>
              <w:rPr>
                <w:b/>
                <w:bCs/>
                <w:sz w:val="18"/>
                <w:szCs w:val="18"/>
              </w:rPr>
            </w:pPr>
            <w:r>
              <w:rPr>
                <w:b/>
                <w:bCs/>
                <w:sz w:val="18"/>
                <w:szCs w:val="18"/>
              </w:rPr>
              <w:t>系统管理</w:t>
            </w:r>
            <w:r>
              <w:rPr>
                <w:rFonts w:hint="eastAsia"/>
                <w:b/>
                <w:bCs/>
                <w:sz w:val="18"/>
                <w:szCs w:val="18"/>
              </w:rPr>
              <w:t>：</w:t>
            </w:r>
          </w:p>
          <w:p>
            <w:pPr>
              <w:pStyle w:val="2"/>
              <w:rPr>
                <w:sz w:val="18"/>
                <w:szCs w:val="18"/>
              </w:rPr>
            </w:pPr>
            <w:r>
              <w:rPr>
                <w:rFonts w:hint="eastAsia"/>
                <w:sz w:val="18"/>
                <w:szCs w:val="18"/>
              </w:rPr>
              <w:t>★系统具有防恶意暴力破解账号与口令功能，口令错误次数可设置，超过错误次数锁定，锁定时间可设置。</w:t>
            </w:r>
          </w:p>
          <w:p>
            <w:pPr>
              <w:pStyle w:val="2"/>
              <w:rPr>
                <w:sz w:val="18"/>
                <w:szCs w:val="18"/>
              </w:rPr>
            </w:pPr>
            <w:r>
              <w:rPr>
                <w:rFonts w:hint="eastAsia"/>
                <w:sz w:val="18"/>
                <w:szCs w:val="18"/>
              </w:rPr>
              <w:t>★支持将常用IP地址或IP地址网段标记为自定义名称，在日志查询界面可以在IP列中对应悬浮显示自定义名称；</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8" w:type="pct"/>
            <w:gridSpan w:val="3"/>
            <w:vAlign w:val="center"/>
          </w:tcPr>
          <w:p>
            <w:pPr>
              <w:jc w:val="center"/>
              <w:rPr>
                <w:b/>
                <w:bCs/>
              </w:rPr>
            </w:pPr>
            <w:r>
              <w:rPr>
                <w:rFonts w:hint="eastAsia"/>
                <w:b/>
                <w:bCs/>
              </w:rPr>
              <w:t>3. 脆弱性扫描与管理系统</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03-01</w:t>
            </w:r>
          </w:p>
        </w:tc>
        <w:tc>
          <w:tcPr>
            <w:tcW w:w="3334" w:type="pct"/>
            <w:vAlign w:val="center"/>
          </w:tcPr>
          <w:p>
            <w:pPr>
              <w:rPr>
                <w:b/>
                <w:bCs/>
                <w:sz w:val="18"/>
                <w:szCs w:val="18"/>
              </w:rPr>
            </w:pPr>
            <w:r>
              <w:rPr>
                <w:b/>
                <w:bCs/>
                <w:sz w:val="18"/>
                <w:szCs w:val="18"/>
              </w:rPr>
              <w:t>硬件要求</w:t>
            </w:r>
            <w:r>
              <w:rPr>
                <w:rFonts w:hint="eastAsia"/>
                <w:b/>
                <w:bCs/>
                <w:sz w:val="18"/>
                <w:szCs w:val="18"/>
              </w:rPr>
              <w:t>：</w:t>
            </w:r>
          </w:p>
          <w:p>
            <w:pPr>
              <w:pStyle w:val="2"/>
              <w:rPr>
                <w:sz w:val="18"/>
                <w:szCs w:val="18"/>
              </w:rPr>
            </w:pPr>
            <w:r>
              <w:rPr>
                <w:rFonts w:hint="eastAsia"/>
                <w:sz w:val="18"/>
                <w:szCs w:val="18"/>
              </w:rPr>
              <w:t>设备≥1U,内存≥8G，机械硬盘≥1T，千兆电口≥6个，支持无限制IP扫描授权，并发扫描≥40个IP地址，并发扫描≥5个系统扫描任务；支持≥40个域名扫描授权，并发扫描≥3个web任务。含1年规则库升级许可</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03-02</w:t>
            </w:r>
          </w:p>
        </w:tc>
        <w:tc>
          <w:tcPr>
            <w:tcW w:w="3334" w:type="pct"/>
            <w:vAlign w:val="center"/>
          </w:tcPr>
          <w:p>
            <w:pPr>
              <w:rPr>
                <w:rFonts w:asciiTheme="minorEastAsia" w:hAnsiTheme="minorEastAsia"/>
                <w:b/>
                <w:bCs/>
                <w:sz w:val="18"/>
                <w:szCs w:val="18"/>
              </w:rPr>
            </w:pPr>
            <w:r>
              <w:rPr>
                <w:rFonts w:hint="eastAsia" w:asciiTheme="minorEastAsia" w:hAnsiTheme="minorEastAsia"/>
                <w:b/>
                <w:bCs/>
                <w:sz w:val="18"/>
                <w:szCs w:val="18"/>
              </w:rPr>
              <w:t>安全性：</w:t>
            </w:r>
          </w:p>
          <w:p>
            <w:pPr>
              <w:pStyle w:val="2"/>
              <w:rPr>
                <w:sz w:val="18"/>
                <w:szCs w:val="18"/>
              </w:rPr>
            </w:pPr>
            <w:r>
              <w:rPr>
                <w:rFonts w:hint="eastAsia"/>
                <w:sz w:val="18"/>
                <w:szCs w:val="18"/>
              </w:rPr>
              <w:t>产品应支持对系统配置进行备份、恢复功能，保证产品系统数据的安全性；</w:t>
            </w:r>
          </w:p>
          <w:p>
            <w:pPr>
              <w:pStyle w:val="2"/>
              <w:rPr>
                <w:sz w:val="18"/>
                <w:szCs w:val="18"/>
              </w:rPr>
            </w:pPr>
            <w:r>
              <w:rPr>
                <w:rFonts w:hint="eastAsia"/>
                <w:sz w:val="18"/>
                <w:szCs w:val="18"/>
              </w:rPr>
              <w:t>★支持首次登录系统强制修改密码功能，防止使用默认密码；</w:t>
            </w:r>
          </w:p>
          <w:p>
            <w:pPr>
              <w:pStyle w:val="2"/>
            </w:pPr>
            <w:r>
              <w:rPr>
                <w:rFonts w:hint="eastAsia"/>
                <w:sz w:val="18"/>
                <w:szCs w:val="18"/>
              </w:rPr>
              <w:t>用户多次登录失败时，自动锁定，允许自定义超时时间及登陆失败次数；</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03-03</w:t>
            </w:r>
          </w:p>
        </w:tc>
        <w:tc>
          <w:tcPr>
            <w:tcW w:w="3334" w:type="pct"/>
            <w:vAlign w:val="center"/>
          </w:tcPr>
          <w:p>
            <w:pPr>
              <w:rPr>
                <w:rFonts w:asciiTheme="minorEastAsia" w:hAnsiTheme="minorEastAsia"/>
                <w:b/>
                <w:bCs/>
                <w:sz w:val="18"/>
                <w:szCs w:val="18"/>
              </w:rPr>
            </w:pPr>
            <w:r>
              <w:rPr>
                <w:rFonts w:hint="eastAsia" w:asciiTheme="minorEastAsia" w:hAnsiTheme="minorEastAsia"/>
                <w:b/>
                <w:bCs/>
                <w:sz w:val="18"/>
                <w:szCs w:val="18"/>
              </w:rPr>
              <w:t>系统联动：</w:t>
            </w:r>
          </w:p>
          <w:p>
            <w:pPr>
              <w:pStyle w:val="2"/>
              <w:rPr>
                <w:sz w:val="18"/>
                <w:szCs w:val="18"/>
              </w:rPr>
            </w:pPr>
            <w:r>
              <w:rPr>
                <w:rFonts w:hint="eastAsia"/>
                <w:sz w:val="18"/>
                <w:szCs w:val="18"/>
              </w:rPr>
              <w:t>★支持防火墙联动功能，防火墙能根据漏扫提供的资产信息对重要资产信息进行防护，根据漏洞信息自动生成防护规则，保护内网安全。</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03-04</w:t>
            </w:r>
          </w:p>
        </w:tc>
        <w:tc>
          <w:tcPr>
            <w:tcW w:w="3334" w:type="pct"/>
            <w:vAlign w:val="center"/>
          </w:tcPr>
          <w:p>
            <w:pPr>
              <w:rPr>
                <w:b/>
                <w:bCs/>
                <w:sz w:val="18"/>
                <w:szCs w:val="18"/>
              </w:rPr>
            </w:pPr>
            <w:r>
              <w:rPr>
                <w:rFonts w:hint="eastAsia"/>
                <w:b/>
                <w:bCs/>
                <w:sz w:val="18"/>
                <w:szCs w:val="18"/>
              </w:rPr>
              <w:t>系统漏洞扫描能力要求：</w:t>
            </w:r>
          </w:p>
          <w:p>
            <w:pPr>
              <w:pStyle w:val="2"/>
              <w:rPr>
                <w:sz w:val="18"/>
                <w:szCs w:val="18"/>
              </w:rPr>
            </w:pPr>
            <w:r>
              <w:rPr>
                <w:rFonts w:hint="eastAsia"/>
                <w:sz w:val="18"/>
                <w:szCs w:val="18"/>
              </w:rPr>
              <w:t>★支持扫描系统漏洞数量大于240000种，web漏洞数量大于5000种,数据库大于3000种；</w:t>
            </w:r>
          </w:p>
          <w:p>
            <w:pPr>
              <w:pStyle w:val="2"/>
              <w:rPr>
                <w:sz w:val="18"/>
                <w:szCs w:val="18"/>
              </w:rPr>
            </w:pPr>
            <w:r>
              <w:rPr>
                <w:rFonts w:hint="eastAsia"/>
                <w:sz w:val="18"/>
                <w:szCs w:val="18"/>
              </w:rPr>
              <w:t>产品漏洞库应涵盖目前的安全漏洞和攻击特征，漏洞库具备至少CVE、CNCVE、CNVD、BUGTRAQ、CNNVD编号；</w:t>
            </w:r>
          </w:p>
          <w:p>
            <w:pPr>
              <w:pStyle w:val="2"/>
              <w:rPr>
                <w:sz w:val="18"/>
                <w:szCs w:val="18"/>
              </w:rPr>
            </w:pPr>
            <w:r>
              <w:rPr>
                <w:rFonts w:hint="eastAsia"/>
                <w:sz w:val="18"/>
                <w:szCs w:val="18"/>
              </w:rPr>
              <w:t>支持扫描虚拟机安全漏洞，如VMWare、EXSI、KVM、XEN、XenServer、HyperV，可扫描漏洞数量大于1500条；</w:t>
            </w:r>
          </w:p>
          <w:p>
            <w:pPr>
              <w:pStyle w:val="2"/>
              <w:rPr>
                <w:sz w:val="18"/>
                <w:szCs w:val="18"/>
              </w:rPr>
            </w:pPr>
            <w:r>
              <w:rPr>
                <w:rFonts w:hint="eastAsia"/>
                <w:sz w:val="18"/>
                <w:szCs w:val="18"/>
              </w:rPr>
              <w:t>★支持扫描大数据组件的安全漏洞，如Spark、Splunk、Kafka、Storm、Cassandra、Ambari、Impala、Solr、Oozie、Hbase、Hadoop等；</w:t>
            </w:r>
          </w:p>
          <w:p>
            <w:pPr>
              <w:pStyle w:val="2"/>
            </w:pPr>
            <w:r>
              <w:rPr>
                <w:rFonts w:hint="eastAsia"/>
                <w:sz w:val="18"/>
                <w:szCs w:val="18"/>
              </w:rPr>
              <w:t>★下发扫描任务时，扫描目标支持ip、域名、网段、子网的灵活组合配置</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03-05</w:t>
            </w:r>
          </w:p>
        </w:tc>
        <w:tc>
          <w:tcPr>
            <w:tcW w:w="3334" w:type="pct"/>
            <w:vAlign w:val="center"/>
          </w:tcPr>
          <w:p>
            <w:pPr>
              <w:rPr>
                <w:b/>
                <w:bCs/>
                <w:sz w:val="18"/>
                <w:szCs w:val="18"/>
              </w:rPr>
            </w:pPr>
            <w:r>
              <w:rPr>
                <w:rFonts w:hint="eastAsia"/>
                <w:b/>
                <w:bCs/>
                <w:sz w:val="18"/>
                <w:szCs w:val="18"/>
              </w:rPr>
              <w:t>Web漏洞扫描要求：</w:t>
            </w:r>
          </w:p>
          <w:p>
            <w:pPr>
              <w:pStyle w:val="2"/>
              <w:rPr>
                <w:sz w:val="18"/>
                <w:szCs w:val="18"/>
              </w:rPr>
            </w:pPr>
            <w:r>
              <w:rPr>
                <w:rFonts w:hint="eastAsia"/>
                <w:sz w:val="18"/>
                <w:szCs w:val="18"/>
              </w:rPr>
              <w:t>支持站点分组管理功能，可批量导入站点信息，并支持在站点管理下针对站点组或者单个站点直接开启扫描任务；</w:t>
            </w:r>
          </w:p>
          <w:p>
            <w:pPr>
              <w:pStyle w:val="2"/>
              <w:rPr>
                <w:sz w:val="18"/>
                <w:szCs w:val="18"/>
              </w:rPr>
            </w:pPr>
            <w:r>
              <w:rPr>
                <w:rFonts w:hint="eastAsia"/>
                <w:sz w:val="18"/>
                <w:szCs w:val="18"/>
              </w:rPr>
              <w:t>★支持站点组、单站点风险在线报表和站点特有属性配置站点信息包含但不限于：代理、认证、访问策略、爬取策略、指纹选项等信息；</w:t>
            </w:r>
          </w:p>
          <w:p>
            <w:pPr>
              <w:pStyle w:val="2"/>
              <w:rPr>
                <w:sz w:val="18"/>
                <w:szCs w:val="18"/>
              </w:rPr>
            </w:pPr>
            <w:r>
              <w:rPr>
                <w:rFonts w:hint="eastAsia"/>
                <w:sz w:val="18"/>
                <w:szCs w:val="18"/>
              </w:rPr>
              <w:t>http认证类型支持auto、basic、digest、ntlm；</w:t>
            </w:r>
          </w:p>
          <w:p>
            <w:pPr>
              <w:pStyle w:val="2"/>
            </w:pPr>
            <w:r>
              <w:rPr>
                <w:rFonts w:hint="eastAsia"/>
                <w:sz w:val="18"/>
                <w:szCs w:val="18"/>
              </w:rPr>
              <w:t>★支持排除路径名，可自定义无需爬取的URL链接；</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03-06</w:t>
            </w:r>
          </w:p>
        </w:tc>
        <w:tc>
          <w:tcPr>
            <w:tcW w:w="3334" w:type="pct"/>
            <w:vAlign w:val="center"/>
          </w:tcPr>
          <w:p>
            <w:pPr>
              <w:rPr>
                <w:b/>
                <w:bCs/>
                <w:sz w:val="18"/>
                <w:szCs w:val="18"/>
              </w:rPr>
            </w:pPr>
            <w:r>
              <w:rPr>
                <w:rFonts w:hint="eastAsia"/>
                <w:b/>
                <w:bCs/>
                <w:sz w:val="18"/>
                <w:szCs w:val="18"/>
              </w:rPr>
              <w:t>报表能力：</w:t>
            </w:r>
          </w:p>
          <w:p>
            <w:pPr>
              <w:pStyle w:val="2"/>
              <w:rPr>
                <w:sz w:val="18"/>
                <w:szCs w:val="18"/>
              </w:rPr>
            </w:pPr>
            <w:r>
              <w:rPr>
                <w:rFonts w:hint="eastAsia"/>
                <w:sz w:val="18"/>
                <w:szCs w:val="18"/>
              </w:rPr>
              <w:t>支持在线报表，可详细展示任务综述信息、站点列表、漏洞列表、对比分析及参考标准，漏洞分布支持风险等级过滤查看；</w:t>
            </w:r>
          </w:p>
          <w:p>
            <w:pPr>
              <w:pStyle w:val="2"/>
              <w:rPr>
                <w:sz w:val="18"/>
                <w:szCs w:val="18"/>
              </w:rPr>
            </w:pPr>
            <w:r>
              <w:rPr>
                <w:rFonts w:hint="eastAsia"/>
                <w:sz w:val="18"/>
                <w:szCs w:val="18"/>
              </w:rPr>
              <w:t>主机报表支持展示主机风险、漏洞信息，及主机详细的端口信息、端口Banner信息、安装软件信息、操作系统类型；</w:t>
            </w:r>
          </w:p>
          <w:p>
            <w:pPr>
              <w:pStyle w:val="2"/>
            </w:pPr>
            <w:r>
              <w:rPr>
                <w:rFonts w:hint="eastAsia"/>
                <w:sz w:val="18"/>
                <w:szCs w:val="18"/>
              </w:rPr>
              <w:t>★支持漏洞生命周期管理，包括未修复、确定、忽略、修复、已验证五种状态；</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8" w:type="pct"/>
            <w:gridSpan w:val="3"/>
            <w:vAlign w:val="center"/>
          </w:tcPr>
          <w:p>
            <w:pPr>
              <w:jc w:val="center"/>
              <w:rPr>
                <w:b/>
                <w:bCs/>
              </w:rPr>
            </w:pPr>
            <w:r>
              <w:rPr>
                <w:rFonts w:hint="eastAsia"/>
                <w:b/>
                <w:bCs/>
              </w:rPr>
              <w:t>4.防火墙</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04-01</w:t>
            </w:r>
          </w:p>
        </w:tc>
        <w:tc>
          <w:tcPr>
            <w:tcW w:w="3334" w:type="pct"/>
            <w:vAlign w:val="center"/>
          </w:tcPr>
          <w:p>
            <w:pPr>
              <w:rPr>
                <w:rFonts w:asciiTheme="minorEastAsia" w:hAnsiTheme="minorEastAsia"/>
                <w:b/>
                <w:bCs/>
                <w:sz w:val="18"/>
                <w:szCs w:val="18"/>
              </w:rPr>
            </w:pPr>
            <w:r>
              <w:rPr>
                <w:rFonts w:hint="eastAsia" w:asciiTheme="minorEastAsia" w:hAnsiTheme="minorEastAsia"/>
                <w:b/>
                <w:bCs/>
                <w:sz w:val="18"/>
                <w:szCs w:val="18"/>
              </w:rPr>
              <w:t>硬件指标：</w:t>
            </w:r>
          </w:p>
          <w:p>
            <w:pPr>
              <w:pStyle w:val="2"/>
              <w:rPr>
                <w:sz w:val="18"/>
                <w:szCs w:val="18"/>
              </w:rPr>
            </w:pPr>
            <w:r>
              <w:rPr>
                <w:rFonts w:hint="eastAsia"/>
                <w:sz w:val="18"/>
                <w:szCs w:val="18"/>
              </w:rPr>
              <w:t>1U,内存8G，机械硬盘4T，8个千兆电口，2个光插槽,单电源,0个扩展槽位。</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04-02</w:t>
            </w:r>
          </w:p>
        </w:tc>
        <w:tc>
          <w:tcPr>
            <w:tcW w:w="3334" w:type="pct"/>
            <w:vAlign w:val="center"/>
          </w:tcPr>
          <w:p>
            <w:pPr>
              <w:rPr>
                <w:b/>
                <w:bCs/>
                <w:sz w:val="18"/>
                <w:szCs w:val="18"/>
              </w:rPr>
            </w:pPr>
            <w:r>
              <w:rPr>
                <w:b/>
                <w:bCs/>
                <w:sz w:val="18"/>
                <w:szCs w:val="18"/>
              </w:rPr>
              <w:t>性能要求：</w:t>
            </w:r>
          </w:p>
          <w:p>
            <w:r>
              <w:rPr>
                <w:sz w:val="18"/>
                <w:szCs w:val="18"/>
              </w:rPr>
              <w:t>整机吞吐量&gt;4G;最大并发连接数&gt;160 0000;每秒新建连接25000，IPS性能&gt;150Mbps;AV性能&gt;100Mbps。</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04-03</w:t>
            </w:r>
          </w:p>
        </w:tc>
        <w:tc>
          <w:tcPr>
            <w:tcW w:w="3334" w:type="pct"/>
            <w:vAlign w:val="center"/>
          </w:tcPr>
          <w:p>
            <w:pPr>
              <w:pStyle w:val="2"/>
              <w:rPr>
                <w:b/>
                <w:bCs/>
                <w:sz w:val="18"/>
                <w:szCs w:val="18"/>
              </w:rPr>
            </w:pPr>
            <w:r>
              <w:rPr>
                <w:b/>
                <w:bCs/>
                <w:sz w:val="18"/>
                <w:szCs w:val="18"/>
              </w:rPr>
              <w:t>应用控制及过滤：</w:t>
            </w:r>
          </w:p>
          <w:p>
            <w:pPr>
              <w:rPr>
                <w:sz w:val="18"/>
                <w:szCs w:val="18"/>
              </w:rPr>
            </w:pPr>
            <w:r>
              <w:rPr>
                <w:sz w:val="18"/>
                <w:szCs w:val="18"/>
              </w:rPr>
              <w:t>具备300种应用识别种类，支持 MSN ， QQ ， Skype 等 Instant Messenger 通信，并可对这些应用进行登陆限制 , 可限制 BT ， eMule ， eDonkey 等 P2P 应用 ，充分细化带宽应用。具备百万级URL库过滤功能，屏蔽恶意网站扫描。</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04-04</w:t>
            </w:r>
          </w:p>
        </w:tc>
        <w:tc>
          <w:tcPr>
            <w:tcW w:w="3334" w:type="pct"/>
            <w:vAlign w:val="center"/>
          </w:tcPr>
          <w:p>
            <w:pPr>
              <w:pStyle w:val="2"/>
              <w:rPr>
                <w:b/>
                <w:bCs/>
                <w:sz w:val="18"/>
                <w:szCs w:val="18"/>
              </w:rPr>
            </w:pPr>
            <w:r>
              <w:rPr>
                <w:b/>
                <w:bCs/>
                <w:sz w:val="18"/>
                <w:szCs w:val="18"/>
              </w:rPr>
              <w:t>WEB过滤：</w:t>
            </w:r>
          </w:p>
          <w:p>
            <w:pPr>
              <w:pStyle w:val="2"/>
              <w:rPr>
                <w:sz w:val="18"/>
                <w:szCs w:val="18"/>
              </w:rPr>
            </w:pPr>
            <w:r>
              <w:rPr>
                <w:sz w:val="18"/>
                <w:szCs w:val="18"/>
              </w:rPr>
              <w:t>具有绿色上网功能，具有87个分类，分类库的规模达到700万，具有支持挂马网站过滤、手动添加域名过滤。</w:t>
            </w:r>
          </w:p>
          <w:p>
            <w:pPr>
              <w:pStyle w:val="2"/>
              <w:rPr>
                <w:b/>
                <w:bCs/>
                <w:sz w:val="18"/>
                <w:szCs w:val="18"/>
              </w:rPr>
            </w:pPr>
            <w:r>
              <w:rPr>
                <w:b/>
                <w:bCs/>
                <w:sz w:val="18"/>
                <w:szCs w:val="18"/>
              </w:rPr>
              <w:t>网络适应性：</w:t>
            </w:r>
          </w:p>
          <w:p>
            <w:pPr>
              <w:pStyle w:val="2"/>
            </w:pPr>
            <w:r>
              <w:rPr>
                <w:sz w:val="18"/>
                <w:szCs w:val="18"/>
              </w:rPr>
              <w:t>支持静态路由、动态路由；支持策略路由；支持 Vlan 路由；支持 IGMP 组播协议；支持 802.1Q ；支持 ISL ；支持 802.1D 生成树协议；支持 ARP 代理、 ARP 学习；支持 DHCP ； 支持 ADSL 等宽带接入；支持网络时钟协议 SNTP ；支持 IPX 、 NetBEUI 等非 IP 协议。</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04-05</w:t>
            </w:r>
          </w:p>
        </w:tc>
        <w:tc>
          <w:tcPr>
            <w:tcW w:w="3334" w:type="pct"/>
            <w:vAlign w:val="center"/>
          </w:tcPr>
          <w:p>
            <w:pPr>
              <w:rPr>
                <w:b/>
                <w:bCs/>
                <w:sz w:val="18"/>
                <w:szCs w:val="18"/>
              </w:rPr>
            </w:pPr>
            <w:r>
              <w:rPr>
                <w:b/>
                <w:bCs/>
                <w:sz w:val="18"/>
                <w:szCs w:val="18"/>
              </w:rPr>
              <w:t>配置管理：</w:t>
            </w:r>
          </w:p>
          <w:p>
            <w:r>
              <w:rPr>
                <w:sz w:val="18"/>
                <w:szCs w:val="18"/>
              </w:rPr>
              <w:t>支持 WEBUI 配置、命令行配置。支持本地配置、远程配置；支持基于 SSH 、 SSL 的安全配置；支持 SNMP 的 v1 、 v2 、 v 2c 、 v3 版本；支持远程维护和系统升级；可以进行配置文件的备份、下载、删除、恢复和上载，支持管理员的三权分立。</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bl>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r>
        <w:rPr>
          <w:rFonts w:hint="eastAsia" w:ascii="宋体" w:hAnsi="宋体" w:eastAsia="宋体"/>
          <w:sz w:val="21"/>
          <w:szCs w:val="21"/>
        </w:rPr>
        <w:t>附件6 资格证明文件</w:t>
      </w:r>
      <w:bookmarkEnd w:id="402"/>
      <w:bookmarkEnd w:id="403"/>
      <w:bookmarkEnd w:id="404"/>
      <w:bookmarkEnd w:id="405"/>
      <w:bookmarkEnd w:id="406"/>
      <w:bookmarkEnd w:id="407"/>
      <w:bookmarkEnd w:id="408"/>
      <w:bookmarkEnd w:id="409"/>
      <w:bookmarkEnd w:id="410"/>
      <w:bookmarkEnd w:id="411"/>
    </w:p>
    <w:p>
      <w:pPr>
        <w:tabs>
          <w:tab w:val="left" w:pos="5580"/>
        </w:tabs>
        <w:spacing w:line="360" w:lineRule="auto"/>
        <w:ind w:firstLine="420" w:firstLineChars="200"/>
        <w:rPr>
          <w:rFonts w:ascii="宋体" w:hAnsi="宋体"/>
          <w:szCs w:val="21"/>
        </w:rPr>
      </w:pPr>
      <w:bookmarkStart w:id="412" w:name="_Toc77629399"/>
      <w:bookmarkStart w:id="413" w:name="_Toc77685369"/>
      <w:bookmarkStart w:id="414" w:name="_Toc77628960"/>
      <w:bookmarkStart w:id="415" w:name="_Toc77628786"/>
      <w:bookmarkStart w:id="416" w:name="_Toc77628626"/>
      <w:bookmarkStart w:id="417" w:name="_Toc77629040"/>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6-7符合投标人须知前附表和招标文件中要求的其它证明文件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r>
        <w:rPr>
          <w:rFonts w:hint="eastAsia" w:ascii="宋体" w:hAnsi="宋体"/>
          <w:sz w:val="21"/>
          <w:szCs w:val="21"/>
        </w:rPr>
        <w:t>附件6-1 营业执照等证明文件</w:t>
      </w:r>
      <w:bookmarkEnd w:id="412"/>
      <w:bookmarkEnd w:id="413"/>
      <w:bookmarkEnd w:id="414"/>
      <w:bookmarkEnd w:id="415"/>
      <w:bookmarkEnd w:id="416"/>
      <w:bookmarkEnd w:id="417"/>
    </w:p>
    <w:p>
      <w:pPr>
        <w:pStyle w:val="20"/>
        <w:tabs>
          <w:tab w:val="left" w:pos="5580"/>
        </w:tabs>
        <w:spacing w:line="360" w:lineRule="auto"/>
        <w:ind w:left="420" w:leftChars="200"/>
        <w:rPr>
          <w:rFonts w:hAnsi="宋体"/>
          <w:szCs w:val="21"/>
        </w:rPr>
      </w:pPr>
    </w:p>
    <w:p>
      <w:pPr>
        <w:tabs>
          <w:tab w:val="left" w:pos="5580"/>
        </w:tabs>
        <w:spacing w:line="360" w:lineRule="auto"/>
        <w:rPr>
          <w:rFonts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18" w:name="_Hlt520343000"/>
      <w:bookmarkEnd w:id="418"/>
      <w:bookmarkStart w:id="419" w:name="_Hlt520350918"/>
      <w:bookmarkEnd w:id="419"/>
      <w:bookmarkStart w:id="420" w:name="_Hlt520271212"/>
      <w:bookmarkEnd w:id="420"/>
      <w:bookmarkStart w:id="421" w:name="_Hlt520274407"/>
      <w:bookmarkEnd w:id="421"/>
      <w:bookmarkStart w:id="422" w:name="_Hlt520273711"/>
      <w:bookmarkEnd w:id="422"/>
      <w:bookmarkStart w:id="423" w:name="_Hlt520274393"/>
      <w:bookmarkEnd w:id="423"/>
      <w:bookmarkStart w:id="424" w:name="_Hlt520343392"/>
      <w:bookmarkEnd w:id="424"/>
      <w:bookmarkStart w:id="425" w:name="_Hlt520273973"/>
      <w:bookmarkEnd w:id="425"/>
      <w:bookmarkStart w:id="426" w:name="_Hlt520350957"/>
      <w:bookmarkEnd w:id="426"/>
      <w:bookmarkStart w:id="427" w:name="_Hlt520274121"/>
      <w:bookmarkEnd w:id="427"/>
      <w:bookmarkStart w:id="428" w:name="_Hlt520274065"/>
      <w:bookmarkEnd w:id="428"/>
      <w:bookmarkStart w:id="429" w:name="_Toc77628787"/>
      <w:bookmarkStart w:id="430" w:name="_Toc77628961"/>
      <w:bookmarkStart w:id="431" w:name="_Toc77685370"/>
      <w:bookmarkStart w:id="432" w:name="_Toc77628627"/>
      <w:bookmarkStart w:id="433" w:name="_Toc77629400"/>
      <w:bookmarkStart w:id="434" w:name="_Toc77629041"/>
      <w:bookmarkStart w:id="435" w:name="_Ref467990100"/>
      <w:bookmarkStart w:id="436" w:name="_Ref467990058"/>
      <w:bookmarkStart w:id="437" w:name="_Toc520125061"/>
      <w:bookmarkStart w:id="438" w:name="_Ref467990064"/>
      <w:bookmarkStart w:id="439" w:name="_Ref467988479"/>
      <w:bookmarkStart w:id="440" w:name="_Toc480942357"/>
      <w:bookmarkStart w:id="441" w:name="_Ref467990101"/>
      <w:bookmarkStart w:id="442" w:name="_Toc520356228"/>
      <w:bookmarkStart w:id="443" w:name="_Ref467988485"/>
      <w:bookmarkStart w:id="444" w:name="_Toc480942358"/>
      <w:bookmarkStart w:id="445" w:name="_Ref467988471"/>
      <w:bookmarkStart w:id="446" w:name="_Toc520125062"/>
      <w:bookmarkStart w:id="447" w:name="_Toc520356229"/>
      <w:r>
        <w:rPr>
          <w:rFonts w:hint="eastAsia" w:ascii="宋体" w:hAnsi="宋体"/>
          <w:sz w:val="21"/>
          <w:szCs w:val="21"/>
        </w:rPr>
        <w:t>附件6-2 法定代表人授权书</w:t>
      </w:r>
      <w:bookmarkEnd w:id="429"/>
      <w:bookmarkEnd w:id="430"/>
      <w:bookmarkEnd w:id="431"/>
      <w:bookmarkEnd w:id="432"/>
      <w:bookmarkEnd w:id="433"/>
      <w:bookmarkEnd w:id="434"/>
    </w:p>
    <w:p>
      <w:pPr>
        <w:pStyle w:val="20"/>
        <w:tabs>
          <w:tab w:val="left" w:pos="5580"/>
        </w:tabs>
        <w:spacing w:line="360" w:lineRule="auto"/>
        <w:ind w:firstLine="420" w:firstLineChars="200"/>
        <w:rPr>
          <w:rFonts w:hAnsi="宋体"/>
          <w:szCs w:val="21"/>
        </w:rPr>
      </w:pPr>
    </w:p>
    <w:p>
      <w:pPr>
        <w:pStyle w:val="20"/>
        <w:tabs>
          <w:tab w:val="left" w:pos="5580"/>
        </w:tabs>
        <w:spacing w:line="360" w:lineRule="auto"/>
        <w:ind w:firstLine="420" w:firstLineChars="200"/>
        <w:rPr>
          <w:rFonts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5"/>
    <w:bookmarkEnd w:id="436"/>
    <w:bookmarkEnd w:id="437"/>
    <w:bookmarkEnd w:id="438"/>
    <w:bookmarkEnd w:id="439"/>
    <w:bookmarkEnd w:id="440"/>
    <w:bookmarkEnd w:id="441"/>
    <w:bookmarkEnd w:id="442"/>
    <w:bookmarkEnd w:id="443"/>
    <w:bookmarkEnd w:id="444"/>
    <w:bookmarkEnd w:id="445"/>
    <w:bookmarkEnd w:id="446"/>
    <w:bookmarkEnd w:id="447"/>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48" w:name="_Toc77628790"/>
      <w:bookmarkStart w:id="449" w:name="_Toc77628630"/>
      <w:bookmarkStart w:id="450" w:name="_Toc77628964"/>
      <w:bookmarkStart w:id="451" w:name="_Toc77685373"/>
      <w:bookmarkStart w:id="452" w:name="_Toc77629044"/>
      <w:bookmarkStart w:id="453" w:name="_Toc77629403"/>
      <w:r>
        <w:rPr>
          <w:rFonts w:hint="eastAsia" w:ascii="宋体" w:hAnsi="宋体"/>
          <w:sz w:val="21"/>
          <w:szCs w:val="21"/>
        </w:rPr>
        <w:t>附件6-3 生产厂商的授权书</w:t>
      </w:r>
      <w:bookmarkEnd w:id="448"/>
      <w:bookmarkEnd w:id="449"/>
      <w:bookmarkEnd w:id="450"/>
      <w:bookmarkEnd w:id="451"/>
      <w:bookmarkEnd w:id="452"/>
      <w:bookmarkEnd w:id="453"/>
      <w:r>
        <w:rPr>
          <w:rFonts w:hint="eastAsia" w:ascii="宋体" w:hAnsi="宋体"/>
          <w:sz w:val="21"/>
          <w:szCs w:val="21"/>
        </w:rPr>
        <w:t>（如需，格式供参考，可自拟）</w:t>
      </w:r>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54" w:name="_Toc77628631"/>
      <w:bookmarkStart w:id="455" w:name="_Toc77629404"/>
      <w:bookmarkStart w:id="456" w:name="_Toc77629045"/>
      <w:bookmarkStart w:id="457" w:name="_Toc77628791"/>
      <w:bookmarkStart w:id="458" w:name="_Toc77628965"/>
      <w:bookmarkStart w:id="459" w:name="_Toc77685374"/>
      <w:r>
        <w:rPr>
          <w:rFonts w:hint="eastAsia" w:ascii="宋体" w:hAnsi="宋体"/>
          <w:sz w:val="21"/>
          <w:szCs w:val="21"/>
        </w:rPr>
        <w:t>附件6-4</w:t>
      </w:r>
      <w:r>
        <w:rPr>
          <w:rFonts w:ascii="宋体" w:hAnsi="宋体"/>
          <w:sz w:val="21"/>
          <w:szCs w:val="21"/>
        </w:rPr>
        <w:t>资信证明</w:t>
      </w:r>
      <w:bookmarkEnd w:id="454"/>
      <w:bookmarkEnd w:id="455"/>
      <w:bookmarkEnd w:id="456"/>
      <w:bookmarkEnd w:id="457"/>
      <w:bookmarkEnd w:id="458"/>
      <w:r>
        <w:rPr>
          <w:rFonts w:hint="eastAsia" w:ascii="宋体" w:hAnsi="宋体"/>
          <w:sz w:val="21"/>
          <w:szCs w:val="21"/>
        </w:rPr>
        <w:t>或财务审计报告</w:t>
      </w:r>
      <w:bookmarkEnd w:id="459"/>
    </w:p>
    <w:p>
      <w:pPr>
        <w:tabs>
          <w:tab w:val="left" w:pos="5580"/>
        </w:tabs>
        <w:spacing w:line="360" w:lineRule="auto"/>
        <w:rPr>
          <w:rFonts w:ascii="宋体" w:hAnsi="宋体"/>
          <w:b/>
          <w:szCs w:val="21"/>
        </w:rPr>
      </w:pPr>
    </w:p>
    <w:p>
      <w:pPr>
        <w:tabs>
          <w:tab w:val="left" w:pos="5580"/>
        </w:tabs>
        <w:spacing w:line="360" w:lineRule="auto"/>
        <w:rPr>
          <w:rFonts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ascii="宋体" w:hAnsi="宋体"/>
          <w:b/>
          <w:szCs w:val="21"/>
        </w:rPr>
      </w:pPr>
    </w:p>
    <w:p>
      <w:pPr>
        <w:tabs>
          <w:tab w:val="left" w:pos="5580"/>
        </w:tabs>
        <w:spacing w:line="360" w:lineRule="auto"/>
        <w:rPr>
          <w:rFonts w:ascii="宋体" w:hAnsi="宋体"/>
          <w:b/>
          <w:bCs/>
          <w:szCs w:val="21"/>
        </w:rPr>
      </w:pPr>
      <w:r>
        <w:rPr>
          <w:rFonts w:hint="eastAsia" w:ascii="宋体" w:hAnsi="宋体"/>
          <w:b/>
          <w:bCs/>
          <w:szCs w:val="21"/>
        </w:rPr>
        <w:t>注：</w:t>
      </w:r>
    </w:p>
    <w:p>
      <w:pPr>
        <w:tabs>
          <w:tab w:val="left" w:pos="5580"/>
        </w:tabs>
        <w:spacing w:line="360" w:lineRule="auto"/>
        <w:rPr>
          <w:rFonts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0" w:name="_Toc77628793"/>
      <w:bookmarkStart w:id="461" w:name="_Toc77628633"/>
      <w:bookmarkStart w:id="462" w:name="_Toc77629406"/>
      <w:bookmarkStart w:id="463" w:name="_Toc77685376"/>
      <w:bookmarkStart w:id="464" w:name="_Toc77628967"/>
      <w:bookmarkStart w:id="465" w:name="_Toc77629047"/>
      <w:r>
        <w:rPr>
          <w:rFonts w:hint="eastAsia" w:ascii="宋体" w:hAnsi="宋体"/>
          <w:sz w:val="21"/>
          <w:szCs w:val="21"/>
        </w:rPr>
        <w:t>附件6-5</w:t>
      </w:r>
      <w:r>
        <w:rPr>
          <w:rFonts w:ascii="宋体" w:hAnsi="宋体"/>
          <w:sz w:val="21"/>
          <w:szCs w:val="21"/>
        </w:rPr>
        <w:t xml:space="preserve"> </w:t>
      </w:r>
      <w:r>
        <w:rPr>
          <w:rFonts w:hint="eastAsia" w:ascii="宋体" w:hAnsi="宋体"/>
          <w:sz w:val="21"/>
          <w:szCs w:val="21"/>
        </w:rPr>
        <w:t>无重大违法记录的声明</w:t>
      </w:r>
      <w:bookmarkEnd w:id="460"/>
      <w:bookmarkEnd w:id="461"/>
      <w:bookmarkEnd w:id="462"/>
      <w:bookmarkEnd w:id="463"/>
      <w:bookmarkEnd w:id="464"/>
      <w:bookmarkEnd w:id="465"/>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6" w:name="_Toc77685377"/>
      <w:bookmarkStart w:id="467" w:name="_Toc77628968"/>
      <w:bookmarkStart w:id="468" w:name="_Toc77629407"/>
      <w:bookmarkStart w:id="469" w:name="_Toc77628634"/>
      <w:bookmarkStart w:id="470" w:name="_Toc77628794"/>
      <w:bookmarkStart w:id="471" w:name="_Toc77629048"/>
      <w:r>
        <w:rPr>
          <w:rFonts w:hint="eastAsia" w:ascii="宋体" w:hAnsi="宋体"/>
          <w:sz w:val="21"/>
          <w:szCs w:val="21"/>
        </w:rPr>
        <w:t>附件6-7近三年类似项目业绩一览表</w:t>
      </w:r>
      <w:bookmarkEnd w:id="466"/>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1</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2</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3</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4</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5</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6</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ascii="宋体" w:hAnsi="宋体"/>
                <w:szCs w:val="21"/>
              </w:rPr>
              <w:t>…</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bl>
    <w:p>
      <w:pPr>
        <w:pStyle w:val="20"/>
        <w:tabs>
          <w:tab w:val="left" w:pos="5580"/>
        </w:tabs>
        <w:spacing w:before="240" w:beforeLines="100" w:line="360" w:lineRule="auto"/>
        <w:jc w:val="left"/>
        <w:rPr>
          <w:rFonts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ascii="宋体" w:hAnsi="宋体"/>
          <w:b/>
          <w:bCs/>
          <w:szCs w:val="21"/>
        </w:rPr>
      </w:pPr>
    </w:p>
    <w:p>
      <w:pPr>
        <w:spacing w:line="520" w:lineRule="exact"/>
        <w:rPr>
          <w:rFonts w:ascii="宋体" w:hAnsi="宋体"/>
          <w:b/>
          <w:bCs/>
          <w:szCs w:val="21"/>
        </w:rPr>
      </w:pPr>
    </w:p>
    <w:p>
      <w:pPr>
        <w:spacing w:line="520" w:lineRule="exact"/>
        <w:rPr>
          <w:rFonts w:ascii="宋体" w:hAnsi="宋体"/>
          <w:b/>
          <w:bCs/>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72" w:name="_Toc77685378"/>
      <w:r>
        <w:rPr>
          <w:rFonts w:hint="eastAsia" w:ascii="宋体" w:hAnsi="宋体"/>
          <w:sz w:val="21"/>
          <w:szCs w:val="21"/>
        </w:rPr>
        <w:t>附件6-8</w:t>
      </w:r>
      <w:r>
        <w:rPr>
          <w:rFonts w:ascii="宋体" w:hAnsi="宋体"/>
          <w:sz w:val="21"/>
          <w:szCs w:val="21"/>
        </w:rPr>
        <w:t xml:space="preserve"> </w:t>
      </w:r>
      <w:r>
        <w:rPr>
          <w:rFonts w:hint="eastAsia" w:ascii="宋体" w:hAnsi="宋体"/>
          <w:sz w:val="21"/>
          <w:szCs w:val="21"/>
        </w:rPr>
        <w:t>其它资格证明文件</w:t>
      </w:r>
      <w:bookmarkEnd w:id="467"/>
      <w:bookmarkEnd w:id="468"/>
      <w:bookmarkEnd w:id="469"/>
      <w:bookmarkEnd w:id="470"/>
      <w:bookmarkEnd w:id="471"/>
      <w:bookmarkEnd w:id="472"/>
    </w:p>
    <w:p>
      <w:pPr>
        <w:pStyle w:val="20"/>
        <w:tabs>
          <w:tab w:val="left" w:pos="5580"/>
        </w:tabs>
        <w:spacing w:line="360" w:lineRule="auto"/>
        <w:rPr>
          <w:rFonts w:hAnsi="宋体"/>
          <w:szCs w:val="21"/>
        </w:rPr>
      </w:pPr>
    </w:p>
    <w:p>
      <w:pPr>
        <w:tabs>
          <w:tab w:val="left" w:pos="5580"/>
        </w:tabs>
        <w:spacing w:line="360" w:lineRule="auto"/>
        <w:rPr>
          <w:rFonts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73" w:name="_Toc77629049"/>
      <w:bookmarkStart w:id="474" w:name="_Toc77628635"/>
      <w:bookmarkStart w:id="475" w:name="_Toc77628969"/>
      <w:bookmarkStart w:id="476" w:name="_Toc35349875"/>
      <w:bookmarkStart w:id="477" w:name="_Toc23896"/>
      <w:bookmarkStart w:id="478" w:name="_Toc415222531"/>
      <w:bookmarkStart w:id="479" w:name="_Toc216513801"/>
      <w:bookmarkStart w:id="480" w:name="_Toc21658282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3"/>
      <w:bookmarkEnd w:id="474"/>
      <w:bookmarkEnd w:id="475"/>
      <w:bookmarkEnd w:id="476"/>
      <w:bookmarkEnd w:id="477"/>
      <w:bookmarkEnd w:id="478"/>
    </w:p>
    <w:p>
      <w:pPr>
        <w:spacing w:line="360" w:lineRule="auto"/>
        <w:ind w:left="1080" w:hanging="1080"/>
        <w:rPr>
          <w:rFonts w:ascii="宋体" w:hAnsi="宋体"/>
          <w:szCs w:val="21"/>
        </w:rPr>
      </w:pPr>
    </w:p>
    <w:p>
      <w:pPr>
        <w:spacing w:line="360" w:lineRule="auto"/>
        <w:ind w:left="1080" w:hanging="1080"/>
        <w:rPr>
          <w:rFonts w:ascii="宋体" w:hAnsi="宋体"/>
          <w:szCs w:val="21"/>
          <w:u w:val="single"/>
        </w:rPr>
      </w:pPr>
      <w:r>
        <w:rPr>
          <w:rFonts w:hint="eastAsia" w:ascii="宋体" w:hAnsi="宋体"/>
          <w:szCs w:val="21"/>
        </w:rPr>
        <w:t>致：国药集团扬州威克生物工程有限公司</w:t>
      </w:r>
    </w:p>
    <w:p>
      <w:pPr>
        <w:spacing w:line="360" w:lineRule="auto"/>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ascii="宋体" w:hAnsi="宋体"/>
          <w:szCs w:val="21"/>
        </w:rPr>
      </w:pPr>
      <w:r>
        <w:rPr>
          <w:rFonts w:hint="eastAsia" w:ascii="宋体" w:hAnsi="宋体"/>
          <w:szCs w:val="21"/>
        </w:rPr>
        <w:t>特此承诺！</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79"/>
      <w:bookmarkEnd w:id="480"/>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1" w:name="_Toc77628636"/>
      <w:bookmarkStart w:id="482" w:name="_Toc77628970"/>
      <w:bookmarkStart w:id="483" w:name="_Toc25002"/>
      <w:bookmarkStart w:id="484" w:name="_Toc77629050"/>
      <w:bookmarkStart w:id="485" w:name="_Toc35349876"/>
      <w:r>
        <w:rPr>
          <w:rFonts w:hint="eastAsia" w:ascii="宋体" w:hAnsi="宋体" w:eastAsia="宋体"/>
          <w:sz w:val="21"/>
          <w:szCs w:val="21"/>
        </w:rPr>
        <w:t>附件7 反商业贿赂承诺书</w:t>
      </w:r>
      <w:bookmarkEnd w:id="481"/>
      <w:bookmarkEnd w:id="482"/>
      <w:bookmarkEnd w:id="483"/>
      <w:bookmarkEnd w:id="484"/>
      <w:bookmarkEnd w:id="485"/>
    </w:p>
    <w:p>
      <w:pPr>
        <w:tabs>
          <w:tab w:val="left" w:pos="5580"/>
        </w:tabs>
        <w:spacing w:line="360" w:lineRule="auto"/>
        <w:rPr>
          <w:rFonts w:hAnsi="宋体"/>
          <w:szCs w:val="21"/>
        </w:rPr>
      </w:pPr>
    </w:p>
    <w:p>
      <w:pPr>
        <w:tabs>
          <w:tab w:val="left" w:pos="5580"/>
        </w:tabs>
        <w:spacing w:line="360" w:lineRule="auto"/>
        <w:rPr>
          <w:rFonts w:hAnsi="宋体"/>
          <w:szCs w:val="21"/>
        </w:rPr>
      </w:pPr>
      <w:r>
        <w:rPr>
          <w:rFonts w:hint="eastAsia" w:hAnsi="宋体"/>
          <w:szCs w:val="21"/>
        </w:rPr>
        <w:t>我公司承诺：</w:t>
      </w:r>
    </w:p>
    <w:p>
      <w:pPr>
        <w:tabs>
          <w:tab w:val="left" w:pos="5580"/>
        </w:tabs>
        <w:spacing w:line="360" w:lineRule="auto"/>
        <w:ind w:firstLine="420" w:firstLineChars="200"/>
        <w:rPr>
          <w:rFonts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Ansi="宋体"/>
          <w:szCs w:val="21"/>
        </w:rPr>
      </w:pPr>
    </w:p>
    <w:p>
      <w:pPr>
        <w:tabs>
          <w:tab w:val="left" w:pos="5580"/>
        </w:tabs>
        <w:spacing w:line="360" w:lineRule="auto"/>
        <w:rPr>
          <w:rFonts w:hAnsi="宋体"/>
          <w:szCs w:val="21"/>
        </w:rPr>
      </w:pPr>
    </w:p>
    <w:p>
      <w:pPr>
        <w:tabs>
          <w:tab w:val="left" w:pos="5580"/>
        </w:tabs>
        <w:spacing w:line="360" w:lineRule="auto"/>
        <w:rPr>
          <w:rFonts w:hAnsi="宋体"/>
          <w:szCs w:val="21"/>
        </w:rPr>
      </w:pPr>
    </w:p>
    <w:p>
      <w:pPr>
        <w:spacing w:line="360" w:lineRule="auto"/>
        <w:ind w:firstLine="3360" w:firstLineChars="1600"/>
        <w:jc w:val="right"/>
        <w:rPr>
          <w:rFonts w:ascii="宋体" w:hAnsi="宋体"/>
          <w:u w:val="single"/>
        </w:rPr>
      </w:pPr>
      <w:bookmarkStart w:id="486" w:name="_Toc29240311"/>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7" w:name="_Toc20295"/>
      <w:bookmarkStart w:id="488" w:name="_Toc77628971"/>
      <w:bookmarkStart w:id="489" w:name="_Toc77628637"/>
      <w:bookmarkStart w:id="490" w:name="_Toc77629051"/>
      <w:r>
        <w:rPr>
          <w:rFonts w:hint="eastAsia" w:ascii="宋体" w:hAnsi="宋体" w:eastAsia="宋体"/>
          <w:sz w:val="21"/>
          <w:szCs w:val="21"/>
        </w:rPr>
        <w:t>附件8 投标人控股及管理关系情况表</w:t>
      </w:r>
      <w:bookmarkEnd w:id="487"/>
    </w:p>
    <w:p>
      <w:pPr>
        <w:spacing w:line="360" w:lineRule="auto"/>
        <w:ind w:firstLine="420" w:firstLineChars="200"/>
        <w:jc w:val="left"/>
        <w:rPr>
          <w:rFonts w:ascii="宋体" w:hAnsi="宋体"/>
          <w:bCs/>
          <w:szCs w:val="21"/>
        </w:rPr>
      </w:pPr>
    </w:p>
    <w:p>
      <w:pPr>
        <w:spacing w:line="360" w:lineRule="auto"/>
        <w:ind w:firstLine="420" w:firstLineChars="200"/>
        <w:jc w:val="left"/>
        <w:rPr>
          <w:rFonts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9678" w:type="dxa"/>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ascii="宋体" w:hAnsi="宋体" w:cs="宋体"/>
                <w:kern w:val="0"/>
                <w:szCs w:val="21"/>
              </w:rPr>
            </w:pPr>
          </w:p>
        </w:tc>
      </w:tr>
    </w:tbl>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ascii="宋体" w:hAnsi="宋体"/>
          <w:kern w:val="0"/>
          <w:szCs w:val="21"/>
        </w:rPr>
      </w:pPr>
    </w:p>
    <w:p>
      <w:pPr>
        <w:tabs>
          <w:tab w:val="left" w:pos="5580"/>
        </w:tabs>
        <w:spacing w:line="360" w:lineRule="auto"/>
        <w:rPr>
          <w:rFonts w:ascii="宋体" w:hAnsi="宋体"/>
          <w:b/>
          <w:bCs/>
          <w:kern w:val="0"/>
          <w:szCs w:val="21"/>
        </w:rPr>
      </w:pPr>
      <w:r>
        <w:rPr>
          <w:rFonts w:hint="eastAsia" w:ascii="宋体" w:hAnsi="宋体"/>
          <w:b/>
          <w:bCs/>
          <w:kern w:val="0"/>
          <w:szCs w:val="21"/>
        </w:rPr>
        <w:t>注：</w:t>
      </w:r>
    </w:p>
    <w:p>
      <w:pPr>
        <w:tabs>
          <w:tab w:val="left" w:pos="5580"/>
        </w:tabs>
        <w:spacing w:line="360" w:lineRule="auto"/>
        <w:rPr>
          <w:rFonts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91" w:name="_Toc14246"/>
      <w:r>
        <w:rPr>
          <w:rFonts w:hint="eastAsia" w:ascii="宋体" w:hAnsi="宋体" w:eastAsia="宋体"/>
          <w:sz w:val="21"/>
          <w:szCs w:val="21"/>
        </w:rPr>
        <w:t>附件9 详细的实施方案</w:t>
      </w:r>
      <w:bookmarkEnd w:id="488"/>
      <w:bookmarkEnd w:id="489"/>
      <w:bookmarkEnd w:id="490"/>
      <w:bookmarkEnd w:id="491"/>
    </w:p>
    <w:bookmarkEnd w:id="486"/>
    <w:p>
      <w:pPr>
        <w:spacing w:before="50" w:after="50" w:line="360" w:lineRule="auto"/>
        <w:jc w:val="center"/>
      </w:pPr>
      <w:bookmarkStart w:id="492" w:name="_Toc218935355"/>
      <w:bookmarkStart w:id="493" w:name="_Toc29240313"/>
      <w:bookmarkStart w:id="494" w:name="_Toc220229434"/>
      <w:bookmarkStart w:id="495" w:name="_Toc219175639"/>
      <w:bookmarkStart w:id="496" w:name="_Toc216582826"/>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ascii="宋体" w:hAnsi="宋体" w:eastAsia="宋体"/>
          <w:sz w:val="21"/>
          <w:szCs w:val="21"/>
        </w:rPr>
      </w:pPr>
      <w:bookmarkStart w:id="497" w:name="_Toc77629052"/>
      <w:bookmarkStart w:id="498" w:name="_Toc77628972"/>
      <w:r>
        <w:rPr>
          <w:rFonts w:hint="eastAsia" w:ascii="宋体" w:hAnsi="宋体" w:eastAsia="宋体"/>
          <w:sz w:val="21"/>
          <w:szCs w:val="21"/>
        </w:rPr>
        <w:br w:type="page"/>
      </w:r>
      <w:bookmarkStart w:id="499" w:name="_Toc18456"/>
      <w:r>
        <w:rPr>
          <w:rFonts w:hint="eastAsia" w:ascii="宋体" w:hAnsi="宋体" w:eastAsia="宋体"/>
          <w:sz w:val="21"/>
          <w:szCs w:val="21"/>
        </w:rPr>
        <w:t>附件10 售后服务方案及承诺</w:t>
      </w:r>
      <w:bookmarkEnd w:id="497"/>
      <w:bookmarkEnd w:id="498"/>
      <w:bookmarkEnd w:id="499"/>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ascii="宋体" w:hAnsi="宋体"/>
          <w:szCs w:val="21"/>
        </w:rPr>
      </w:pPr>
      <w:r>
        <w:rPr>
          <w:rFonts w:hint="eastAsia" w:ascii="宋体" w:hAnsi="宋体"/>
          <w:szCs w:val="21"/>
        </w:rPr>
        <w:br w:type="page"/>
      </w:r>
      <w:bookmarkStart w:id="500" w:name="_Toc77628973"/>
      <w:bookmarkStart w:id="501" w:name="_Toc77629053"/>
    </w:p>
    <w:p>
      <w:pPr>
        <w:tabs>
          <w:tab w:val="left" w:pos="5580"/>
        </w:tabs>
        <w:spacing w:before="120" w:beforeLines="50" w:after="120" w:afterLines="50" w:line="360" w:lineRule="auto"/>
        <w:jc w:val="center"/>
        <w:outlineLvl w:val="1"/>
        <w:rPr>
          <w:rFonts w:ascii="宋体" w:hAnsi="宋体"/>
          <w:b/>
          <w:bCs/>
          <w:szCs w:val="21"/>
        </w:rPr>
      </w:pPr>
      <w:bookmarkStart w:id="502" w:name="_Toc25219"/>
      <w:r>
        <w:rPr>
          <w:rFonts w:hint="eastAsia" w:ascii="宋体" w:hAnsi="宋体"/>
          <w:b/>
          <w:bCs/>
          <w:szCs w:val="21"/>
        </w:rPr>
        <w:t>附件11 投标人认为需要提供的其它材料</w:t>
      </w:r>
      <w:bookmarkEnd w:id="500"/>
      <w:bookmarkEnd w:id="501"/>
      <w:bookmarkEnd w:id="502"/>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7" w:type="default"/>
          <w:footerReference r:id="rId8" w:type="default"/>
          <w:pgSz w:w="11906" w:h="16838"/>
          <w:pgMar w:top="1440" w:right="1080" w:bottom="1440" w:left="1080" w:header="454" w:footer="624" w:gutter="284"/>
          <w:cols w:space="720" w:num="1"/>
          <w:docGrid w:linePitch="319" w:charSpace="0"/>
        </w:sectPr>
      </w:pPr>
    </w:p>
    <w:bookmarkEnd w:id="492"/>
    <w:bookmarkEnd w:id="493"/>
    <w:bookmarkEnd w:id="494"/>
    <w:bookmarkEnd w:id="495"/>
    <w:bookmarkEnd w:id="496"/>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503" w:name="_Toc77629054"/>
      <w:bookmarkStart w:id="504" w:name="_Toc77628974"/>
      <w:bookmarkStart w:id="505" w:name="_Toc77628638"/>
      <w:bookmarkStart w:id="506" w:name="_Toc30380"/>
      <w:bookmarkStart w:id="507" w:name="_Toc29240314"/>
      <w:bookmarkStart w:id="508" w:name="_Toc77628639"/>
      <w:bookmarkStart w:id="509" w:name="_Toc77629055"/>
      <w:bookmarkStart w:id="510" w:name="_Toc77628975"/>
      <w:r>
        <w:rPr>
          <w:rFonts w:hint="eastAsia" w:ascii="宋体" w:hAnsi="宋体"/>
          <w:b/>
          <w:bCs/>
          <w:sz w:val="24"/>
        </w:rPr>
        <w:t>第五章 评标方法和标准</w:t>
      </w:r>
      <w:bookmarkEnd w:id="503"/>
      <w:bookmarkEnd w:id="504"/>
      <w:bookmarkEnd w:id="505"/>
      <w:bookmarkEnd w:id="506"/>
    </w:p>
    <w:p>
      <w:pPr>
        <w:pStyle w:val="2"/>
        <w:spacing w:after="0" w:line="360" w:lineRule="auto"/>
        <w:ind w:firstLine="420" w:firstLineChars="200"/>
        <w:rPr>
          <w:rFonts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ascii="宋体" w:hAnsi="宋体" w:cs="宋体"/>
                <w:b/>
                <w:szCs w:val="21"/>
              </w:rPr>
            </w:pPr>
            <w:r>
              <w:rPr>
                <w:rFonts w:hint="eastAsia" w:ascii="宋体" w:hAnsi="宋体" w:cs="宋体"/>
                <w:b/>
                <w:szCs w:val="21"/>
              </w:rPr>
              <w:t>条款号</w:t>
            </w:r>
          </w:p>
        </w:tc>
        <w:tc>
          <w:tcPr>
            <w:tcW w:w="1819" w:type="dxa"/>
            <w:vAlign w:val="center"/>
          </w:tcPr>
          <w:p>
            <w:pPr>
              <w:jc w:val="center"/>
              <w:rPr>
                <w:rFonts w:ascii="宋体" w:hAnsi="宋体" w:cs="宋体"/>
                <w:b/>
                <w:szCs w:val="21"/>
              </w:rPr>
            </w:pPr>
            <w:r>
              <w:rPr>
                <w:rFonts w:hint="eastAsia" w:ascii="宋体" w:hAnsi="宋体" w:cs="宋体"/>
                <w:b/>
                <w:szCs w:val="21"/>
              </w:rPr>
              <w:t>评审因素</w:t>
            </w:r>
          </w:p>
        </w:tc>
        <w:tc>
          <w:tcPr>
            <w:tcW w:w="6208" w:type="dxa"/>
            <w:vAlign w:val="center"/>
          </w:tcPr>
          <w:p>
            <w:pPr>
              <w:jc w:val="center"/>
              <w:rPr>
                <w:rFonts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1</w:t>
            </w:r>
          </w:p>
        </w:tc>
        <w:tc>
          <w:tcPr>
            <w:tcW w:w="756" w:type="dxa"/>
            <w:vAlign w:val="center"/>
          </w:tcPr>
          <w:p>
            <w:pPr>
              <w:jc w:val="center"/>
              <w:rPr>
                <w:rFonts w:ascii="宋体" w:hAnsi="宋体" w:cs="宋体"/>
                <w:bCs/>
                <w:szCs w:val="21"/>
              </w:rPr>
            </w:pPr>
            <w:r>
              <w:rPr>
                <w:rFonts w:hint="eastAsia" w:ascii="宋体" w:hAnsi="宋体" w:cs="宋体"/>
                <w:bCs/>
                <w:szCs w:val="21"/>
              </w:rPr>
              <w:t>评标方法</w:t>
            </w:r>
          </w:p>
        </w:tc>
        <w:tc>
          <w:tcPr>
            <w:tcW w:w="1819" w:type="dxa"/>
            <w:vAlign w:val="center"/>
          </w:tcPr>
          <w:p>
            <w:pPr>
              <w:jc w:val="center"/>
              <w:rPr>
                <w:rFonts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ascii="宋体" w:hAnsi="宋体" w:cs="宋体"/>
                <w:bCs/>
                <w:szCs w:val="21"/>
              </w:rPr>
            </w:pPr>
            <w:r>
              <w:rPr>
                <w:rFonts w:hint="eastAsia" w:ascii="宋体" w:hAnsi="宋体" w:cs="宋体"/>
                <w:bCs/>
                <w:szCs w:val="21"/>
              </w:rPr>
              <w:t>投标人名称</w:t>
            </w:r>
          </w:p>
        </w:tc>
        <w:tc>
          <w:tcPr>
            <w:tcW w:w="6208" w:type="dxa"/>
            <w:vAlign w:val="center"/>
          </w:tcPr>
          <w:p>
            <w:pPr>
              <w:jc w:val="left"/>
              <w:rPr>
                <w:rFonts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投标文件格式</w:t>
            </w:r>
          </w:p>
        </w:tc>
        <w:tc>
          <w:tcPr>
            <w:tcW w:w="6208" w:type="dxa"/>
            <w:vAlign w:val="center"/>
          </w:tcPr>
          <w:p>
            <w:pPr>
              <w:jc w:val="left"/>
              <w:rPr>
                <w:rFonts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联合体投标人</w:t>
            </w:r>
          </w:p>
        </w:tc>
        <w:tc>
          <w:tcPr>
            <w:tcW w:w="6208" w:type="dxa"/>
            <w:vAlign w:val="center"/>
          </w:tcPr>
          <w:p>
            <w:pPr>
              <w:jc w:val="left"/>
              <w:rPr>
                <w:rFonts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备选方案</w:t>
            </w:r>
          </w:p>
        </w:tc>
        <w:tc>
          <w:tcPr>
            <w:tcW w:w="6208" w:type="dxa"/>
            <w:vAlign w:val="center"/>
          </w:tcPr>
          <w:p>
            <w:pPr>
              <w:jc w:val="left"/>
              <w:rPr>
                <w:rFonts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ascii="宋体" w:hAnsi="宋体" w:cs="宋体"/>
                <w:bCs/>
                <w:szCs w:val="21"/>
              </w:rPr>
            </w:pPr>
            <w:r>
              <w:rPr>
                <w:rFonts w:hint="eastAsia" w:ascii="宋体" w:hAnsi="宋体" w:cs="宋体"/>
                <w:bCs/>
                <w:szCs w:val="21"/>
              </w:rPr>
              <w:t>资格条件</w:t>
            </w:r>
          </w:p>
        </w:tc>
        <w:tc>
          <w:tcPr>
            <w:tcW w:w="6208" w:type="dxa"/>
            <w:vAlign w:val="center"/>
          </w:tcPr>
          <w:p>
            <w:pPr>
              <w:rPr>
                <w:rFonts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ascii="宋体" w:hAnsi="宋体" w:cs="宋体"/>
                <w:bCs/>
                <w:szCs w:val="21"/>
              </w:rPr>
            </w:pPr>
            <w:r>
              <w:rPr>
                <w:rFonts w:hint="eastAsia" w:ascii="宋体" w:hAnsi="宋体" w:cs="宋体"/>
                <w:bCs/>
                <w:szCs w:val="21"/>
              </w:rPr>
              <w:t>投标报价</w:t>
            </w:r>
          </w:p>
        </w:tc>
        <w:tc>
          <w:tcPr>
            <w:tcW w:w="6208" w:type="dxa"/>
            <w:vAlign w:val="center"/>
          </w:tcPr>
          <w:p>
            <w:pPr>
              <w:jc w:val="left"/>
              <w:rPr>
                <w:rFonts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投标有效期</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保证金</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商务条款</w:t>
            </w:r>
          </w:p>
        </w:tc>
        <w:tc>
          <w:tcPr>
            <w:tcW w:w="6208" w:type="dxa"/>
            <w:vAlign w:val="center"/>
          </w:tcPr>
          <w:p>
            <w:pPr>
              <w:jc w:val="left"/>
              <w:rPr>
                <w:rFonts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技术条款</w:t>
            </w:r>
          </w:p>
        </w:tc>
        <w:tc>
          <w:tcPr>
            <w:tcW w:w="6208" w:type="dxa"/>
            <w:vAlign w:val="center"/>
          </w:tcPr>
          <w:p>
            <w:pPr>
              <w:jc w:val="left"/>
              <w:rPr>
                <w:rFonts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其他条款</w:t>
            </w:r>
          </w:p>
        </w:tc>
        <w:tc>
          <w:tcPr>
            <w:tcW w:w="6208" w:type="dxa"/>
            <w:vAlign w:val="center"/>
          </w:tcPr>
          <w:p>
            <w:pPr>
              <w:jc w:val="left"/>
              <w:rPr>
                <w:rFonts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2.2.1</w:t>
            </w:r>
          </w:p>
        </w:tc>
        <w:tc>
          <w:tcPr>
            <w:tcW w:w="1819" w:type="dxa"/>
            <w:vAlign w:val="center"/>
          </w:tcPr>
          <w:p>
            <w:pPr>
              <w:jc w:val="center"/>
              <w:rPr>
                <w:rFonts w:ascii="宋体" w:hAnsi="宋体" w:cs="宋体"/>
                <w:bCs/>
                <w:szCs w:val="21"/>
              </w:rPr>
            </w:pPr>
            <w:r>
              <w:rPr>
                <w:rFonts w:hint="eastAsia" w:ascii="宋体" w:hAnsi="宋体" w:cs="宋体"/>
                <w:bCs/>
                <w:szCs w:val="21"/>
              </w:rPr>
              <w:t>分值构成</w:t>
            </w:r>
          </w:p>
          <w:p>
            <w:pPr>
              <w:jc w:val="center"/>
              <w:rPr>
                <w:rFonts w:ascii="宋体" w:hAnsi="宋体" w:cs="宋体"/>
                <w:bCs/>
                <w:szCs w:val="21"/>
              </w:rPr>
            </w:pPr>
            <w:r>
              <w:rPr>
                <w:rFonts w:hint="eastAsia" w:ascii="宋体" w:hAnsi="宋体" w:cs="宋体"/>
                <w:bCs/>
                <w:szCs w:val="21"/>
              </w:rPr>
              <w:t>（总分100分）</w:t>
            </w:r>
          </w:p>
        </w:tc>
        <w:tc>
          <w:tcPr>
            <w:tcW w:w="6208" w:type="dxa"/>
            <w:vAlign w:val="center"/>
          </w:tcPr>
          <w:p>
            <w:pPr>
              <w:rPr>
                <w:rFonts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2.2.2</w:t>
            </w:r>
          </w:p>
        </w:tc>
        <w:tc>
          <w:tcPr>
            <w:tcW w:w="1819" w:type="dxa"/>
            <w:vAlign w:val="center"/>
          </w:tcPr>
          <w:p>
            <w:pPr>
              <w:jc w:val="center"/>
              <w:rPr>
                <w:rFonts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ascii="宋体" w:hAnsi="宋体" w:cs="宋体"/>
                <w:szCs w:val="21"/>
              </w:rPr>
            </w:pPr>
            <w:r>
              <w:rPr>
                <w:rFonts w:hint="eastAsia" w:ascii="宋体" w:hAnsi="宋体" w:cs="宋体"/>
                <w:b/>
                <w:kern w:val="0"/>
                <w:szCs w:val="21"/>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center"/>
              <w:rPr>
                <w:rFonts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生产商的产能、供应链管理能力。</w:t>
            </w:r>
          </w:p>
          <w:p>
            <w:pPr>
              <w:widowControl/>
              <w:textAlignment w:val="center"/>
              <w:rPr>
                <w:rFonts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2.2.3（2）</w:t>
            </w:r>
          </w:p>
        </w:tc>
        <w:tc>
          <w:tcPr>
            <w:tcW w:w="756" w:type="dxa"/>
            <w:vMerge w:val="restart"/>
            <w:vAlign w:val="center"/>
          </w:tcPr>
          <w:p>
            <w:pPr>
              <w:jc w:val="center"/>
              <w:rPr>
                <w:rFonts w:ascii="宋体" w:hAnsi="宋体" w:cs="宋体"/>
                <w:bCs/>
                <w:szCs w:val="21"/>
              </w:rPr>
            </w:pPr>
            <w:r>
              <w:rPr>
                <w:rFonts w:hint="eastAsia" w:ascii="宋体" w:hAnsi="宋体" w:cs="宋体"/>
                <w:bCs/>
                <w:szCs w:val="21"/>
              </w:rPr>
              <w:t>技术部分评分标准</w:t>
            </w:r>
          </w:p>
        </w:tc>
        <w:tc>
          <w:tcPr>
            <w:tcW w:w="1819" w:type="dxa"/>
            <w:vAlign w:val="center"/>
          </w:tcPr>
          <w:p>
            <w:pPr>
              <w:widowControl/>
              <w:textAlignment w:val="center"/>
              <w:rPr>
                <w:rFonts w:ascii="宋体" w:hAnsi="宋体" w:cs="宋体"/>
                <w:kern w:val="0"/>
                <w:szCs w:val="21"/>
                <w:lang w:bidi="ar"/>
              </w:rPr>
            </w:pPr>
            <w:r>
              <w:rPr>
                <w:rFonts w:hint="eastAsia" w:ascii="宋体" w:hAnsi="宋体" w:cs="宋体"/>
                <w:color w:val="000000" w:themeColor="text1"/>
                <w:kern w:val="0"/>
                <w:szCs w:val="21"/>
                <w:lang w:bidi="ar"/>
                <w14:textFill>
                  <w14:solidFill>
                    <w14:schemeClr w14:val="tx1"/>
                  </w14:solidFill>
                </w14:textFill>
              </w:rPr>
              <w:t>技 术 指 标（</w:t>
            </w:r>
            <w:r>
              <w:rPr>
                <w:rFonts w:ascii="宋体" w:hAnsi="宋体" w:cs="宋体"/>
                <w:color w:val="000000" w:themeColor="text1"/>
                <w:kern w:val="0"/>
                <w:szCs w:val="21"/>
                <w:lang w:bidi="ar"/>
                <w14:textFill>
                  <w14:solidFill>
                    <w14:schemeClr w14:val="tx1"/>
                  </w14:solidFill>
                </w14:textFill>
              </w:rPr>
              <w:t>40分）详见</w:t>
            </w:r>
            <w:r>
              <w:rPr>
                <w:rFonts w:hint="eastAsia" w:ascii="宋体" w:hAnsi="宋体" w:cs="宋体"/>
                <w:color w:val="000000" w:themeColor="text1"/>
                <w:kern w:val="0"/>
                <w:szCs w:val="21"/>
                <w:lang w:bidi="ar"/>
                <w14:textFill>
                  <w14:solidFill>
                    <w14:schemeClr w14:val="tx1"/>
                  </w14:solidFill>
                </w14:textFill>
              </w:rPr>
              <w:t>6</w:t>
            </w:r>
            <w:r>
              <w:rPr>
                <w:rFonts w:ascii="宋体" w:hAnsi="宋体" w:cs="宋体"/>
                <w:color w:val="000000" w:themeColor="text1"/>
                <w:kern w:val="0"/>
                <w:szCs w:val="21"/>
                <w:lang w:bidi="ar"/>
                <w14:textFill>
                  <w14:solidFill>
                    <w14:schemeClr w14:val="tx1"/>
                  </w14:solidFill>
                </w14:textFill>
              </w:rPr>
              <w:t>.0技术规格要求</w:t>
            </w:r>
          </w:p>
        </w:tc>
        <w:tc>
          <w:tcPr>
            <w:tcW w:w="6208" w:type="dxa"/>
            <w:vAlign w:val="center"/>
          </w:tcPr>
          <w:p>
            <w:pPr>
              <w:widowControl/>
              <w:textAlignment w:val="center"/>
            </w:pPr>
            <w:r>
              <w:rPr>
                <w:rFonts w:hint="eastAsia"/>
              </w:rPr>
              <w:t>1、入侵防御系统指标符合：10分（优：1</w:t>
            </w:r>
            <w:r>
              <w:t>0分、良</w:t>
            </w:r>
            <w:r>
              <w:rPr>
                <w:rFonts w:hint="eastAsia"/>
              </w:rPr>
              <w:t>8分、一般6分、差</w:t>
            </w:r>
            <w:r>
              <w:t>1分）</w:t>
            </w:r>
          </w:p>
          <w:p>
            <w:pPr>
              <w:widowControl/>
              <w:textAlignment w:val="center"/>
            </w:pPr>
            <w:r>
              <w:rPr>
                <w:rFonts w:hint="eastAsia"/>
              </w:rPr>
              <w:t>2、日志收集分析系统技术指标符合：</w:t>
            </w:r>
            <w:r>
              <w:t>10分</w:t>
            </w:r>
            <w:r>
              <w:rPr>
                <w:rFonts w:hint="eastAsia"/>
              </w:rPr>
              <w:t>（优：1</w:t>
            </w:r>
            <w:r>
              <w:t>0分、良</w:t>
            </w:r>
            <w:r>
              <w:rPr>
                <w:rFonts w:hint="eastAsia"/>
              </w:rPr>
              <w:t>8分、一般6分、差</w:t>
            </w:r>
            <w:r>
              <w:t>1分）</w:t>
            </w:r>
          </w:p>
          <w:p>
            <w:pPr>
              <w:widowControl/>
              <w:textAlignment w:val="center"/>
            </w:pPr>
            <w:r>
              <w:rPr>
                <w:rFonts w:hint="eastAsia"/>
              </w:rPr>
              <w:t>3、脆弱性扫描与管理系统技术指标符合：</w:t>
            </w:r>
            <w:r>
              <w:t>10分</w:t>
            </w:r>
            <w:r>
              <w:rPr>
                <w:rFonts w:hint="eastAsia"/>
              </w:rPr>
              <w:t>（优：1</w:t>
            </w:r>
            <w:r>
              <w:t>0分、良</w:t>
            </w:r>
            <w:r>
              <w:rPr>
                <w:rFonts w:hint="eastAsia"/>
              </w:rPr>
              <w:t>8分、一般6分、差</w:t>
            </w:r>
            <w:r>
              <w:t>1分）</w:t>
            </w:r>
          </w:p>
          <w:p>
            <w:pPr>
              <w:widowControl/>
              <w:textAlignment w:val="center"/>
            </w:pPr>
            <w:r>
              <w:rPr>
                <w:rFonts w:hint="eastAsia"/>
              </w:rPr>
              <w:t>4、防火墙技术指标符合：</w:t>
            </w:r>
            <w:r>
              <w:t>10分</w:t>
            </w:r>
            <w:r>
              <w:rPr>
                <w:rFonts w:hint="eastAsia"/>
              </w:rPr>
              <w:t>（优：1</w:t>
            </w:r>
            <w:r>
              <w:t>0分、良</w:t>
            </w:r>
            <w:r>
              <w:rPr>
                <w:rFonts w:hint="eastAsia"/>
              </w:rPr>
              <w:t>8分、一般6分、差</w:t>
            </w:r>
            <w: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1"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textAlignment w:val="center"/>
              <w:rPr>
                <w:rFonts w:ascii="宋体" w:hAnsi="宋体" w:cs="宋体"/>
                <w:kern w:val="0"/>
                <w:szCs w:val="21"/>
                <w:lang w:bidi="ar"/>
              </w:rPr>
            </w:pPr>
            <w:r>
              <w:rPr>
                <w:rFonts w:hint="eastAsia" w:ascii="宋体" w:hAnsi="宋体" w:cs="宋体"/>
                <w:kern w:val="0"/>
                <w:szCs w:val="21"/>
                <w:lang w:bidi="ar"/>
              </w:rPr>
              <w:t>软件功能符合度（1</w:t>
            </w:r>
            <w:r>
              <w:rPr>
                <w:rFonts w:ascii="宋体" w:hAnsi="宋体" w:cs="宋体"/>
                <w:kern w:val="0"/>
                <w:szCs w:val="21"/>
                <w:lang w:bidi="ar"/>
              </w:rPr>
              <w:t>0分）</w:t>
            </w:r>
          </w:p>
        </w:tc>
        <w:tc>
          <w:tcPr>
            <w:tcW w:w="6208" w:type="dxa"/>
            <w:vAlign w:val="center"/>
          </w:tcPr>
          <w:p>
            <w:pPr>
              <w:pStyle w:val="80"/>
              <w:numPr>
                <w:ilvl w:val="0"/>
                <w:numId w:val="10"/>
              </w:numPr>
              <w:spacing w:after="120"/>
              <w:ind w:firstLineChars="0"/>
              <w:rPr>
                <w:rFonts w:eastAsia="宋体" w:cs="Times New Roman"/>
                <w:sz w:val="21"/>
                <w:szCs w:val="24"/>
                <w:lang w:val="en-US" w:bidi="ar-SA"/>
              </w:rPr>
            </w:pPr>
            <w:r>
              <w:rPr>
                <w:rFonts w:hint="eastAsia" w:eastAsia="宋体" w:cs="Times New Roman"/>
                <w:sz w:val="21"/>
                <w:szCs w:val="24"/>
                <w:lang w:val="en-US" w:bidi="ar-SA"/>
              </w:rPr>
              <w:t>标准符合性</w:t>
            </w:r>
            <w:r>
              <w:rPr>
                <w:rFonts w:hint="eastAsia" w:ascii="MS Gothic" w:hAnsi="MS Gothic" w:eastAsia="MS Gothic" w:cs="MS Gothic"/>
                <w:sz w:val="21"/>
                <w:szCs w:val="24"/>
                <w:lang w:val="en-US" w:bidi="ar-SA"/>
              </w:rPr>
              <w:t>‌</w:t>
            </w:r>
            <w:r>
              <w:rPr>
                <w:rFonts w:hint="eastAsia" w:eastAsia="宋体" w:cs="Times New Roman"/>
                <w:sz w:val="21"/>
                <w:szCs w:val="24"/>
                <w:lang w:val="en-US" w:bidi="ar-SA"/>
              </w:rPr>
              <w:t>：设备需要符合国家或行业规定的技术标准。网络关键设备应符合《网络关键设备安全通用要求》</w:t>
            </w:r>
            <w:r>
              <w:rPr>
                <w:rFonts w:eastAsia="宋体" w:cs="Times New Roman"/>
                <w:sz w:val="21"/>
                <w:szCs w:val="24"/>
                <w:lang w:val="en-US" w:bidi="ar-SA"/>
              </w:rPr>
              <w:t>(GB 40050-2021)</w:t>
            </w:r>
            <w:r>
              <w:rPr>
                <w:rFonts w:hint="eastAsia" w:eastAsia="宋体" w:cs="Times New Roman"/>
                <w:sz w:val="21"/>
                <w:szCs w:val="24"/>
                <w:lang w:val="en-US" w:bidi="ar-SA"/>
              </w:rPr>
              <w:t>的标准</w:t>
            </w:r>
            <w:r>
              <w:rPr>
                <w:rFonts w:hint="eastAsia" w:ascii="MS Gothic" w:hAnsi="MS Gothic" w:eastAsia="MS Gothic" w:cs="MS Gothic"/>
                <w:sz w:val="21"/>
                <w:szCs w:val="24"/>
                <w:lang w:val="en-US" w:bidi="ar-SA"/>
              </w:rPr>
              <w:t>‌</w:t>
            </w:r>
            <w:r>
              <w:rPr>
                <w:rFonts w:hint="eastAsia" w:eastAsia="宋体" w:cs="Times New Roman"/>
                <w:sz w:val="21"/>
                <w:szCs w:val="24"/>
                <w:lang w:val="en-US" w:bidi="ar-SA"/>
              </w:rPr>
              <w:t>。（2分）</w:t>
            </w:r>
          </w:p>
          <w:p>
            <w:pPr>
              <w:pStyle w:val="80"/>
              <w:numPr>
                <w:ilvl w:val="0"/>
                <w:numId w:val="10"/>
              </w:numPr>
              <w:spacing w:after="120"/>
              <w:ind w:firstLineChars="0"/>
              <w:rPr>
                <w:rFonts w:eastAsia="宋体" w:cs="Times New Roman"/>
                <w:sz w:val="21"/>
                <w:szCs w:val="24"/>
                <w:lang w:val="en-US" w:bidi="ar-SA"/>
              </w:rPr>
            </w:pPr>
            <w:r>
              <w:rPr>
                <w:rFonts w:eastAsia="宋体" w:cs="Times New Roman"/>
                <w:sz w:val="21"/>
                <w:szCs w:val="24"/>
                <w:lang w:val="en-US" w:bidi="ar-SA"/>
              </w:rPr>
              <w:t>功能要求‌：访问控制‌：支持配置访问控制策略，并根据策略控制对安全域的访问‌，入侵防范‌：能够分析信息、检测入侵事件，并采取记录、警告或阻断等措施‌，安全‌：监测、记录网络运行状态和安全事件，并进行比较分析以发现违规行为‌，恶意程序防范‌：检测存储或传输信息中的恶意程序，并进行阻止、删除、修复或隔离‌。（</w:t>
            </w:r>
            <w:r>
              <w:rPr>
                <w:rFonts w:hint="eastAsia" w:eastAsia="宋体" w:cs="Times New Roman"/>
                <w:sz w:val="21"/>
                <w:szCs w:val="24"/>
                <w:lang w:val="en-US" w:bidi="ar-SA"/>
              </w:rPr>
              <w:t>4分）</w:t>
            </w:r>
          </w:p>
          <w:p>
            <w:pPr>
              <w:pStyle w:val="80"/>
              <w:numPr>
                <w:ilvl w:val="0"/>
                <w:numId w:val="10"/>
              </w:numPr>
              <w:spacing w:after="120"/>
              <w:ind w:firstLineChars="0"/>
              <w:rPr>
                <w:rFonts w:eastAsia="宋体" w:cs="Times New Roman"/>
                <w:sz w:val="21"/>
                <w:szCs w:val="24"/>
                <w:lang w:val="en-US" w:bidi="ar-SA"/>
              </w:rPr>
            </w:pPr>
            <w:r>
              <w:rPr>
                <w:rFonts w:eastAsia="宋体" w:cs="Times New Roman"/>
                <w:sz w:val="21"/>
                <w:szCs w:val="24"/>
                <w:lang w:val="en-US" w:bidi="ar-SA"/>
              </w:rPr>
              <w:t>自身安全要求：识别和鉴别：对用户身份进行唯一标识和鉴别，确保传输和存储过程中的保密性和完整性。访问控制：区分管理员角色，实现管理权限相互制约。安全审计：保护审计日志，防止未预期的删除、修改、覆盖或丢失。（</w:t>
            </w:r>
            <w:r>
              <w:rPr>
                <w:rFonts w:hint="eastAsia" w:eastAsia="宋体" w:cs="Times New Roman"/>
                <w:sz w:val="21"/>
                <w:szCs w:val="24"/>
                <w:lang w:val="en-US" w:bidi="ar-SA"/>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center"/>
              <w:rPr>
                <w:rFonts w:ascii="宋体" w:hAnsi="宋体" w:cs="宋体"/>
                <w:szCs w:val="21"/>
              </w:rPr>
            </w:pPr>
            <w:r>
              <w:rPr>
                <w:rFonts w:hint="eastAsia" w:ascii="宋体" w:hAnsi="宋体" w:cs="宋体"/>
                <w:kern w:val="0"/>
                <w:szCs w:val="21"/>
                <w:lang w:bidi="ar"/>
              </w:rPr>
              <w:t>售后服务内容与计划（10分）</w:t>
            </w:r>
          </w:p>
        </w:tc>
        <w:tc>
          <w:tcPr>
            <w:tcW w:w="6208" w:type="dxa"/>
            <w:vAlign w:val="center"/>
          </w:tcPr>
          <w:p>
            <w:pPr>
              <w:pStyle w:val="80"/>
              <w:spacing w:after="0" w:afterLines="0" w:line="240" w:lineRule="auto"/>
              <w:ind w:firstLine="0" w:firstLineChars="0"/>
              <w:rPr>
                <w:rFonts w:ascii="宋体" w:hAnsi="宋体" w:eastAsia="宋体"/>
                <w:kern w:val="0"/>
                <w:sz w:val="21"/>
                <w:szCs w:val="21"/>
                <w:lang w:val="en-US" w:bidi="ar"/>
              </w:rPr>
            </w:pPr>
            <w:r>
              <w:rPr>
                <w:rFonts w:hint="eastAsia" w:ascii="宋体" w:hAnsi="宋体" w:eastAsia="宋体"/>
                <w:kern w:val="0"/>
                <w:sz w:val="21"/>
                <w:szCs w:val="21"/>
                <w:lang w:val="en-US" w:bidi="ar"/>
              </w:rPr>
              <w:t>承诺接到检测任务后响应最短，得3分；其次得2分，以此类推；</w:t>
            </w:r>
          </w:p>
          <w:p>
            <w:pPr>
              <w:pStyle w:val="80"/>
              <w:spacing w:after="0" w:afterLines="0" w:line="240" w:lineRule="auto"/>
              <w:ind w:firstLine="0" w:firstLineChars="0"/>
              <w:rPr>
                <w:rFonts w:ascii="宋体" w:hAnsi="宋体" w:eastAsia="宋体"/>
                <w:kern w:val="0"/>
                <w:sz w:val="21"/>
                <w:szCs w:val="21"/>
                <w:lang w:val="en-US" w:bidi="ar"/>
              </w:rPr>
            </w:pPr>
            <w:r>
              <w:rPr>
                <w:rFonts w:hint="eastAsia" w:ascii="宋体" w:hAnsi="宋体" w:eastAsia="宋体"/>
                <w:kern w:val="0"/>
                <w:sz w:val="21"/>
                <w:szCs w:val="21"/>
                <w:lang w:val="en-US" w:bidi="ar"/>
              </w:rPr>
              <w:t>承诺出具初稿报告时间最短，得3分；其次得2分，以此类推；</w:t>
            </w:r>
          </w:p>
          <w:p>
            <w:pPr>
              <w:pStyle w:val="80"/>
              <w:spacing w:after="0" w:afterLines="0" w:line="240" w:lineRule="auto"/>
              <w:ind w:firstLine="0" w:firstLineChars="0"/>
              <w:rPr>
                <w:rFonts w:ascii="宋体" w:hAnsi="宋体" w:eastAsia="宋体"/>
                <w:kern w:val="0"/>
                <w:sz w:val="21"/>
                <w:szCs w:val="21"/>
                <w:lang w:val="en-US" w:bidi="ar"/>
              </w:rPr>
            </w:pPr>
            <w:r>
              <w:rPr>
                <w:rFonts w:hint="eastAsia" w:ascii="宋体" w:hAnsi="宋体" w:eastAsia="宋体"/>
                <w:kern w:val="0"/>
                <w:sz w:val="21"/>
                <w:szCs w:val="21"/>
                <w:lang w:val="en-US" w:bidi="ar"/>
              </w:rPr>
              <w:t>提供检测数据统计分析、问题整改建议等增值服务或应急方案的每项得2分，（最多加4分）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ascii="宋体" w:hAnsi="宋体" w:cs="宋体"/>
                <w:kern w:val="0"/>
                <w:szCs w:val="21"/>
              </w:rPr>
            </w:pPr>
            <w:r>
              <w:rPr>
                <w:rFonts w:hint="eastAsia" w:ascii="宋体" w:hAnsi="宋体" w:cs="宋体"/>
                <w:kern w:val="0"/>
                <w:szCs w:val="21"/>
              </w:rPr>
              <w:t>评标价格分数=（评标基准价/投标报价）×价格权重（30%）×100</w:t>
            </w:r>
          </w:p>
          <w:p>
            <w:pPr>
              <w:rPr>
                <w:rFonts w:ascii="宋体" w:hAnsi="宋体" w:cs="宋体"/>
                <w:b/>
                <w:szCs w:val="21"/>
              </w:rPr>
            </w:pPr>
            <w:r>
              <w:rPr>
                <w:rFonts w:hint="eastAsia" w:ascii="宋体" w:hAnsi="宋体" w:cs="宋体"/>
                <w:b/>
                <w:kern w:val="0"/>
                <w:szCs w:val="21"/>
              </w:rPr>
              <w:t>（注：实质性响应招标文件要求且价格最低的投标报价为评标基准价）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511" w:name="_Toc31714"/>
      <w:r>
        <w:rPr>
          <w:rFonts w:hint="eastAsia" w:ascii="宋体" w:hAnsi="宋体"/>
          <w:b/>
          <w:bCs/>
          <w:sz w:val="24"/>
        </w:rPr>
        <w:t xml:space="preserve">第六章 </w:t>
      </w:r>
      <w:bookmarkEnd w:id="507"/>
      <w:r>
        <w:rPr>
          <w:rFonts w:hint="eastAsia" w:ascii="宋体" w:hAnsi="宋体"/>
          <w:b/>
          <w:bCs/>
          <w:sz w:val="24"/>
        </w:rPr>
        <w:t>货物需求一览表及技术要求</w:t>
      </w:r>
      <w:bookmarkEnd w:id="508"/>
      <w:bookmarkEnd w:id="509"/>
      <w:bookmarkEnd w:id="510"/>
      <w:bookmarkEnd w:id="511"/>
    </w:p>
    <w:p>
      <w:pPr>
        <w:spacing w:before="120" w:beforeLines="50" w:after="120" w:afterLines="50" w:line="360" w:lineRule="auto"/>
        <w:outlineLvl w:val="1"/>
        <w:rPr>
          <w:rFonts w:ascii="宋体" w:hAnsi="宋体"/>
          <w:b/>
          <w:kern w:val="0"/>
          <w:szCs w:val="21"/>
        </w:rPr>
      </w:pPr>
      <w:bookmarkStart w:id="512" w:name="_Toc77629056"/>
      <w:bookmarkStart w:id="513" w:name="_Toc77628640"/>
      <w:bookmarkStart w:id="514" w:name="_Toc9053"/>
      <w:bookmarkStart w:id="515" w:name="_Toc73707880"/>
      <w:bookmarkStart w:id="516" w:name="_Toc77628976"/>
      <w:bookmarkStart w:id="517" w:name="_Toc32235246"/>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2"/>
      <w:bookmarkEnd w:id="513"/>
      <w:bookmarkEnd w:id="514"/>
      <w:bookmarkEnd w:id="515"/>
      <w:bookmarkEnd w:id="516"/>
      <w:bookmarkEnd w:id="517"/>
    </w:p>
    <w:tbl>
      <w:tblPr>
        <w:tblStyle w:val="41"/>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ascii="宋体" w:hAnsi="宋体"/>
                <w:szCs w:val="21"/>
              </w:rPr>
            </w:pPr>
            <w:r>
              <w:rPr>
                <w:rFonts w:hint="eastAsia" w:ascii="宋体" w:hAnsi="宋体"/>
                <w:szCs w:val="21"/>
              </w:rPr>
              <w:t>基础网络周界安全设备（包含软件和硬件）项目</w:t>
            </w:r>
          </w:p>
        </w:tc>
        <w:tc>
          <w:tcPr>
            <w:tcW w:w="1234" w:type="dxa"/>
            <w:vAlign w:val="center"/>
          </w:tcPr>
          <w:p>
            <w:pPr>
              <w:spacing w:line="360" w:lineRule="auto"/>
              <w:jc w:val="center"/>
              <w:rPr>
                <w:rFonts w:ascii="宋体" w:hAnsi="宋体" w:cs="宋体"/>
                <w:kern w:val="0"/>
                <w:szCs w:val="21"/>
              </w:rPr>
            </w:pPr>
            <w:r>
              <w:rPr>
                <w:rFonts w:hint="eastAsia"/>
                <w:kern w:val="0"/>
                <w:szCs w:val="21"/>
              </w:rPr>
              <w:t>见下文</w:t>
            </w:r>
          </w:p>
        </w:tc>
        <w:tc>
          <w:tcPr>
            <w:tcW w:w="981" w:type="dxa"/>
            <w:vAlign w:val="center"/>
          </w:tcPr>
          <w:p>
            <w:pPr>
              <w:widowControl/>
              <w:jc w:val="center"/>
              <w:rPr>
                <w:rFonts w:ascii="宋体" w:hAnsi="宋体" w:cs="宋体"/>
                <w:kern w:val="0"/>
                <w:szCs w:val="21"/>
              </w:rPr>
            </w:pPr>
            <w:r>
              <w:rPr>
                <w:rFonts w:hint="eastAsia" w:ascii="宋体" w:hAnsi="宋体" w:cs="宋体"/>
                <w:kern w:val="0"/>
                <w:szCs w:val="21"/>
              </w:rPr>
              <w:t>套</w:t>
            </w:r>
          </w:p>
        </w:tc>
        <w:tc>
          <w:tcPr>
            <w:tcW w:w="2272" w:type="dxa"/>
            <w:vAlign w:val="center"/>
          </w:tcPr>
          <w:p>
            <w:pPr>
              <w:widowControl/>
              <w:jc w:val="center"/>
              <w:rPr>
                <w:rFonts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ascii="宋体" w:hAnsi="宋体" w:cs="宋体"/>
                <w:kern w:val="0"/>
                <w:szCs w:val="21"/>
              </w:rPr>
            </w:pPr>
            <w:r>
              <w:rPr>
                <w:rFonts w:hint="eastAsia" w:ascii="宋体" w:hAnsi="宋体"/>
                <w:szCs w:val="21"/>
              </w:rPr>
              <w:t>招标人指定项目现场</w:t>
            </w:r>
          </w:p>
        </w:tc>
      </w:tr>
    </w:tbl>
    <w:p>
      <w:pPr>
        <w:numPr>
          <w:ilvl w:val="0"/>
          <w:numId w:val="11"/>
        </w:numPr>
        <w:spacing w:line="360" w:lineRule="auto"/>
        <w:outlineLvl w:val="1"/>
        <w:rPr>
          <w:rFonts w:ascii="宋体" w:hAnsi="宋体"/>
          <w:b/>
          <w:kern w:val="0"/>
          <w:sz w:val="22"/>
          <w:szCs w:val="22"/>
        </w:rPr>
      </w:pPr>
      <w:bookmarkStart w:id="518" w:name="_Toc77628977"/>
      <w:bookmarkStart w:id="519" w:name="_Toc21254"/>
      <w:bookmarkStart w:id="520" w:name="_Toc77628641"/>
      <w:bookmarkStart w:id="521" w:name="_Toc77629057"/>
      <w:r>
        <w:rPr>
          <w:rFonts w:hint="eastAsia" w:ascii="宋体" w:hAnsi="宋体"/>
          <w:b/>
          <w:kern w:val="0"/>
          <w:sz w:val="22"/>
          <w:szCs w:val="22"/>
        </w:rPr>
        <w:t>技术要求</w:t>
      </w:r>
      <w:bookmarkEnd w:id="518"/>
      <w:bookmarkEnd w:id="519"/>
      <w:bookmarkEnd w:id="520"/>
      <w:bookmarkEnd w:id="521"/>
    </w:p>
    <w:p>
      <w:pPr>
        <w:spacing w:line="500" w:lineRule="exact"/>
        <w:jc w:val="center"/>
        <w:rPr>
          <w:rFonts w:ascii="宋体" w:hAnsi="宋体"/>
          <w:b/>
          <w:bCs/>
          <w:sz w:val="24"/>
        </w:rPr>
      </w:pPr>
      <w:bookmarkStart w:id="522" w:name="_Toc58665088"/>
      <w:bookmarkStart w:id="523" w:name="_Toc114916857"/>
      <w:bookmarkStart w:id="524" w:name="_Toc114916918"/>
      <w:bookmarkStart w:id="525" w:name="_Toc112752858"/>
      <w:bookmarkStart w:id="526" w:name="_Toc114375827"/>
      <w:bookmarkStart w:id="527" w:name="_Toc114371637"/>
      <w:bookmarkStart w:id="528" w:name="_Toc114376961"/>
      <w:bookmarkStart w:id="529" w:name="_Toc114887864"/>
      <w:bookmarkStart w:id="530" w:name="_Toc114371486"/>
      <w:bookmarkStart w:id="531" w:name="_Toc78098298"/>
    </w:p>
    <w:p>
      <w:pPr>
        <w:spacing w:line="500" w:lineRule="exact"/>
        <w:jc w:val="center"/>
        <w:rPr>
          <w:rFonts w:ascii="宋体" w:hAnsi="宋体"/>
          <w:b/>
          <w:bCs/>
          <w:sz w:val="24"/>
        </w:rPr>
      </w:pPr>
      <w:r>
        <w:rPr>
          <w:rFonts w:hint="eastAsia" w:ascii="宋体" w:hAnsi="宋体"/>
          <w:b/>
          <w:bCs/>
          <w:sz w:val="24"/>
        </w:rPr>
        <w:t>用户需求</w:t>
      </w:r>
    </w:p>
    <w:p>
      <w:pPr>
        <w:pStyle w:val="2"/>
      </w:pPr>
      <w:r>
        <w:rPr>
          <w:rFonts w:hint="eastAsia" w:ascii="宋体" w:hAnsi="宋体"/>
          <w:b/>
          <w:bCs/>
          <w:sz w:val="24"/>
        </w:rPr>
        <w:t>1、目的</w:t>
      </w:r>
    </w:p>
    <w:bookmarkEnd w:id="522"/>
    <w:bookmarkEnd w:id="523"/>
    <w:bookmarkEnd w:id="524"/>
    <w:bookmarkEnd w:id="525"/>
    <w:bookmarkEnd w:id="526"/>
    <w:bookmarkEnd w:id="527"/>
    <w:bookmarkEnd w:id="528"/>
    <w:bookmarkEnd w:id="529"/>
    <w:bookmarkEnd w:id="530"/>
    <w:bookmarkEnd w:id="531"/>
    <w:p>
      <w:pPr>
        <w:pStyle w:val="2"/>
      </w:pPr>
      <w:bookmarkStart w:id="532" w:name="_Toc28598"/>
      <w:bookmarkStart w:id="533" w:name="_Toc28100"/>
      <w:r>
        <w:rPr>
          <w:rFonts w:hint="eastAsia"/>
        </w:rPr>
        <w:t xml:space="preserve"> </w:t>
      </w:r>
      <w:r>
        <w:t xml:space="preserve">  </w:t>
      </w:r>
      <w:r>
        <w:rPr>
          <w:rFonts w:hint="eastAsia"/>
        </w:rPr>
        <w:t xml:space="preserve">全等级保护测评过程中，针对等级测评结果中存在的所有安全问题，应采用风险分析的方法，进行危害分析和风险等级判定，分析所产生的安全问题被威胁利用的可能性，判断其被威胁利用后对业务信息安全和系统服务安全造成影响的程度，综合评价对定级对象造成的安全风险。 </w:t>
      </w:r>
    </w:p>
    <w:p>
      <w:pPr>
        <w:pStyle w:val="2"/>
        <w:rPr>
          <w:rFonts w:ascii="宋体" w:hAnsi="宋体"/>
          <w:b/>
          <w:bCs/>
          <w:sz w:val="24"/>
        </w:rPr>
      </w:pPr>
      <w:r>
        <w:rPr>
          <w:rFonts w:hint="eastAsia" w:ascii="宋体" w:hAnsi="宋体"/>
          <w:b/>
          <w:bCs/>
          <w:sz w:val="24"/>
        </w:rPr>
        <w:t>2、范围</w:t>
      </w:r>
      <w:bookmarkEnd w:id="532"/>
      <w:bookmarkEnd w:id="533"/>
    </w:p>
    <w:p>
      <w:pPr>
        <w:pStyle w:val="2"/>
      </w:pPr>
      <w:bookmarkStart w:id="534" w:name="_Toc22507"/>
      <w:bookmarkStart w:id="535" w:name="_Toc26852"/>
      <w:r>
        <w:rPr>
          <w:rFonts w:hint="eastAsia"/>
        </w:rPr>
        <w:t xml:space="preserve"> </w:t>
      </w:r>
      <w:r>
        <w:t xml:space="preserve">  </w:t>
      </w:r>
      <w:r>
        <w:rPr>
          <w:rFonts w:hint="eastAsia"/>
        </w:rPr>
        <w:t xml:space="preserve">规定了网络安全等级保护测评中的安全通用要求和各类安全扩展要求的高风险判例。 本文件适用于网络安全等级保护测评、安全检查等活动。 </w:t>
      </w:r>
    </w:p>
    <w:p>
      <w:pPr>
        <w:pStyle w:val="2"/>
        <w:rPr>
          <w:rFonts w:ascii="宋体" w:hAnsi="宋体"/>
          <w:b/>
          <w:bCs/>
          <w:sz w:val="24"/>
        </w:rPr>
      </w:pPr>
      <w:r>
        <w:rPr>
          <w:rFonts w:hint="eastAsia" w:ascii="宋体" w:hAnsi="宋体"/>
          <w:b/>
          <w:bCs/>
          <w:sz w:val="24"/>
        </w:rPr>
        <w:t>3、定义和缩略语</w:t>
      </w:r>
      <w:bookmarkEnd w:id="534"/>
      <w:bookmarkEnd w:id="535"/>
    </w:p>
    <w:p>
      <w:pPr>
        <w:autoSpaceDE w:val="0"/>
        <w:autoSpaceDN w:val="0"/>
        <w:spacing w:before="302" w:line="210" w:lineRule="exact"/>
        <w:ind w:left="128" w:right="128"/>
        <w:jc w:val="right"/>
      </w:pPr>
      <w:r>
        <w:rPr>
          <w:rFonts w:ascii="宋体" w:hAnsi="宋体"/>
          <w:color w:val="000000"/>
        </w:rPr>
        <w:t>GB 17859、GB/T 22239—2019、GB/T 25069—2022、GB/T 31168—2023和GB/T 35273—2020界定的</w:t>
      </w:r>
    </w:p>
    <w:p>
      <w:pPr>
        <w:autoSpaceDE w:val="0"/>
        <w:autoSpaceDN w:val="0"/>
        <w:spacing w:before="62" w:after="30" w:line="212" w:lineRule="exact"/>
      </w:pPr>
      <w:r>
        <w:rPr>
          <w:rFonts w:ascii="宋体" w:hAnsi="宋体"/>
          <w:color w:val="000000"/>
        </w:rPr>
        <w:t xml:space="preserve">以及下列术语和定义适用于本文件。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AP： 无线访问接入点（Wireless Access Point）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DDoS：分布式拒绝服务（Distributed Denial of Service）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E-mail：电子邮件（Electronic Mail）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FTP：文件传输协议（File Transfer Protocol）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IP：互联网协议（Internet Protocol）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LEAP：轻量级可扩展身份验证协议（Lightweight Extensible Authentication Protocol ）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MAC：媒体访问控制（Media Access Control）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Rlogin：远程登录命令（Rlogin）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SSID：服务集标识（Service Set Identifier ）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Telnet：远程终端协议（Telnet）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UPS：不间断电源（Uninterruptible Power Supply）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USB：通用串行总线（Universal Serial Bus）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VPN：虚拟专用网络（Virtual Private Network）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WAP：无线访问接入点（Wireless Access Point） </w:t>
      </w:r>
    </w:p>
    <w:p>
      <w:pPr>
        <w:autoSpaceDE w:val="0"/>
        <w:autoSpaceDN w:val="0"/>
        <w:spacing w:before="302" w:line="210" w:lineRule="exact"/>
        <w:ind w:left="128" w:right="128"/>
        <w:jc w:val="left"/>
        <w:rPr>
          <w:rFonts w:ascii="宋体" w:hAnsi="宋体"/>
          <w:color w:val="000000"/>
        </w:rPr>
      </w:pPr>
      <w:r>
        <w:rPr>
          <w:rFonts w:ascii="宋体" w:hAnsi="宋体"/>
          <w:color w:val="000000"/>
        </w:rPr>
        <w:t xml:space="preserve"> </w:t>
      </w:r>
      <w:r>
        <w:rPr>
          <w:rFonts w:hint="eastAsia" w:ascii="宋体" w:hAnsi="宋体"/>
          <w:color w:val="000000"/>
        </w:rPr>
        <w:t xml:space="preserve">WEB：全球广域网/万维网（World Wide Web） </w:t>
      </w:r>
      <w:r>
        <w:rPr>
          <w:rFonts w:hint="eastAsia" w:ascii="宋体" w:hAnsi="宋体"/>
          <w:color w:val="000000"/>
        </w:rPr>
        <w:tab/>
      </w:r>
      <w:r>
        <w:rPr>
          <w:rFonts w:hint="eastAsia" w:ascii="宋体" w:hAnsi="宋体"/>
          <w:color w:val="000000"/>
        </w:rPr>
        <w:t xml:space="preserve"> </w:t>
      </w:r>
      <w:r>
        <w:rPr>
          <w:rFonts w:hint="eastAsia" w:ascii="宋体" w:hAnsi="宋体"/>
          <w:color w:val="000000"/>
        </w:rPr>
        <w:tab/>
      </w:r>
      <w:r>
        <w:rPr>
          <w:rFonts w:hint="eastAsia" w:ascii="宋体" w:hAnsi="宋体"/>
          <w:color w:val="000000"/>
        </w:rPr>
        <w:t xml:space="preserve"> </w:t>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WEP：有线等效协议（Wired Equivalent Protocol） </w:t>
      </w:r>
      <w:r>
        <w:rPr>
          <w:rFonts w:hint="eastAsia" w:ascii="宋体" w:hAnsi="宋体"/>
          <w:color w:val="000000"/>
        </w:rPr>
        <w:tab/>
      </w:r>
      <w:r>
        <w:rPr>
          <w:rFonts w:hint="eastAsia" w:ascii="宋体" w:hAnsi="宋体"/>
          <w:color w:val="000000"/>
        </w:rPr>
        <w:tab/>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WIDS：无线入侵检测系统（Wireless Intrusion Detection System） </w:t>
      </w:r>
      <w:r>
        <w:rPr>
          <w:rFonts w:hint="eastAsia" w:ascii="宋体" w:hAnsi="宋体"/>
          <w:color w:val="000000"/>
        </w:rPr>
        <w:tab/>
      </w:r>
      <w:r>
        <w:rPr>
          <w:rFonts w:hint="eastAsia" w:ascii="宋体" w:hAnsi="宋体"/>
          <w:color w:val="000000"/>
        </w:rPr>
        <w:tab/>
      </w:r>
    </w:p>
    <w:p>
      <w:pPr>
        <w:autoSpaceDE w:val="0"/>
        <w:autoSpaceDN w:val="0"/>
        <w:spacing w:before="302" w:line="210" w:lineRule="exact"/>
        <w:ind w:left="128" w:right="128"/>
        <w:jc w:val="left"/>
        <w:rPr>
          <w:rFonts w:ascii="宋体" w:hAnsi="宋体"/>
          <w:color w:val="000000"/>
        </w:rPr>
      </w:pPr>
      <w:r>
        <w:rPr>
          <w:rFonts w:hint="eastAsia" w:ascii="宋体" w:hAnsi="宋体"/>
          <w:color w:val="000000"/>
        </w:rPr>
        <w:t xml:space="preserve">WPA：无线局域网保护访问（Wi-Fi Protected Access） </w:t>
      </w:r>
      <w:r>
        <w:rPr>
          <w:rFonts w:hint="eastAsia" w:ascii="宋体" w:hAnsi="宋体"/>
          <w:color w:val="000000"/>
        </w:rPr>
        <w:tab/>
      </w:r>
      <w:r>
        <w:rPr>
          <w:rFonts w:hint="eastAsia" w:ascii="宋体" w:hAnsi="宋体"/>
          <w:color w:val="000000"/>
        </w:rPr>
        <w:tab/>
      </w:r>
    </w:p>
    <w:p>
      <w:pPr>
        <w:pStyle w:val="2"/>
        <w:rPr>
          <w:rFonts w:ascii="宋体" w:hAnsi="宋体"/>
          <w:b/>
          <w:bCs/>
          <w:sz w:val="24"/>
        </w:rPr>
      </w:pPr>
      <w:bookmarkStart w:id="536" w:name="_Toc2883"/>
      <w:bookmarkStart w:id="537" w:name="_Toc18809"/>
      <w:r>
        <w:rPr>
          <w:rFonts w:hint="eastAsia" w:ascii="宋体" w:hAnsi="宋体"/>
          <w:b/>
          <w:bCs/>
          <w:sz w:val="24"/>
        </w:rPr>
        <w:t>4、参考文件</w:t>
      </w:r>
      <w:bookmarkEnd w:id="536"/>
    </w:p>
    <w:p>
      <w:pPr>
        <w:autoSpaceDE w:val="0"/>
        <w:autoSpaceDN w:val="0"/>
        <w:spacing w:before="2" w:line="272" w:lineRule="exact"/>
        <w:ind w:left="420" w:right="420"/>
      </w:pPr>
      <w:bookmarkStart w:id="538" w:name="_Toc10111"/>
      <w:r>
        <w:rPr>
          <w:rFonts w:ascii="宋体" w:hAnsi="宋体"/>
          <w:color w:val="000000"/>
        </w:rPr>
        <w:t xml:space="preserve">GB/T 2887—2011 计算机场地通用规范 </w:t>
      </w:r>
      <w:r>
        <w:br w:type="textWrapping"/>
      </w:r>
      <w:r>
        <w:rPr>
          <w:rFonts w:ascii="宋体" w:hAnsi="宋体"/>
          <w:color w:val="000000"/>
        </w:rPr>
        <w:t xml:space="preserve">GB 17859 计算机信息系统 安全保护等级划分准则 </w:t>
      </w:r>
      <w:r>
        <w:br w:type="textWrapping"/>
      </w:r>
      <w:r>
        <w:rPr>
          <w:rFonts w:ascii="宋体" w:hAnsi="宋体"/>
          <w:color w:val="000000"/>
        </w:rPr>
        <w:t xml:space="preserve">GB/T 22239—2019 信息安全技术 网络安全等级保护基本要求 </w:t>
      </w:r>
      <w:r>
        <w:br w:type="textWrapping"/>
      </w:r>
      <w:r>
        <w:rPr>
          <w:rFonts w:ascii="宋体" w:hAnsi="宋体"/>
          <w:color w:val="000000"/>
        </w:rPr>
        <w:t xml:space="preserve">GB/T 25069—2022 信息安全技术 术语 </w:t>
      </w:r>
      <w:r>
        <w:br w:type="textWrapping"/>
      </w:r>
      <w:r>
        <w:rPr>
          <w:rFonts w:ascii="宋体" w:hAnsi="宋体"/>
          <w:color w:val="000000"/>
        </w:rPr>
        <w:t xml:space="preserve">GB/T 28448—2019 信息安全技术 网络安全等级保护测评要求 </w:t>
      </w:r>
      <w:r>
        <w:br w:type="textWrapping"/>
      </w:r>
      <w:r>
        <w:rPr>
          <w:rFonts w:ascii="宋体" w:hAnsi="宋体"/>
          <w:color w:val="000000"/>
        </w:rPr>
        <w:t xml:space="preserve">GB/T 31168—2023 信息安全技术 云计算服务安全能力要求 </w:t>
      </w:r>
      <w:r>
        <w:br w:type="textWrapping"/>
      </w:r>
      <w:r>
        <w:rPr>
          <w:rFonts w:ascii="宋体" w:hAnsi="宋体"/>
          <w:color w:val="000000"/>
        </w:rPr>
        <w:t xml:space="preserve">GB/T 35273-2020 信息安全技术 个人信息安全规范 </w:t>
      </w:r>
    </w:p>
    <w:p>
      <w:pPr>
        <w:pStyle w:val="2"/>
        <w:rPr>
          <w:rFonts w:ascii="宋体" w:hAnsi="宋体"/>
          <w:b/>
          <w:bCs/>
          <w:sz w:val="24"/>
        </w:rPr>
      </w:pPr>
      <w:r>
        <w:rPr>
          <w:rFonts w:hint="eastAsia" w:ascii="宋体" w:hAnsi="宋体"/>
          <w:b/>
          <w:bCs/>
          <w:sz w:val="24"/>
        </w:rPr>
        <w:t>5、需求设备/工艺的简单描述</w:t>
      </w:r>
      <w:bookmarkEnd w:id="537"/>
      <w:bookmarkEnd w:id="538"/>
    </w:p>
    <w:p>
      <w:pPr>
        <w:pStyle w:val="2"/>
      </w:pPr>
      <w:bookmarkStart w:id="539" w:name="_Toc14542"/>
      <w:bookmarkStart w:id="540" w:name="_Toc19698"/>
      <w:r>
        <w:rPr>
          <w:rFonts w:hint="eastAsia"/>
        </w:rPr>
        <w:t xml:space="preserve"> </w:t>
      </w:r>
      <w:r>
        <w:t xml:space="preserve"> </w:t>
      </w:r>
      <w:r>
        <w:rPr>
          <w:rFonts w:hint="eastAsia"/>
        </w:rPr>
        <w:t>安全设备的功能主要包括维护运行系统安全、保护网络上系统信息的安全、确保网络上信息传播的安全以及保障网络上信息内容的安全。这些设备在网络环境中扮演着至关重要的角色，确保个人和企业免受安全威胁的影响。</w:t>
      </w:r>
    </w:p>
    <w:p>
      <w:pPr>
        <w:pStyle w:val="2"/>
      </w:pPr>
      <w:r>
        <w:rPr>
          <w:rFonts w:hint="eastAsia"/>
        </w:rPr>
        <w:t>1. 维护运行系统安全：网络安全设备致力于保障信息处理和传输系统的稳定性和可靠性。它们防止系统崩溃和损坏，避免存储、处理和传输的信息遭受破坏和丢失，同时防止电磁泄漏造成的信息泄露和干扰。</w:t>
      </w:r>
    </w:p>
    <w:p>
      <w:pPr>
        <w:pStyle w:val="2"/>
      </w:pPr>
      <w:r>
        <w:rPr>
          <w:rFonts w:hint="eastAsia"/>
        </w:rPr>
        <w:t>2. 保护网络上系统信息的安全：这类设备涉及用户身份验证、访问权限控制、数据存取控制、安全审计、安全事件追踪、计算机病毒防护和数据加密等多种功能，确保信息在网络中的安全性。</w:t>
      </w:r>
    </w:p>
    <w:p>
      <w:pPr>
        <w:pStyle w:val="2"/>
      </w:pPr>
      <w:r>
        <w:rPr>
          <w:rFonts w:hint="eastAsia"/>
        </w:rPr>
        <w:t>3. 维护网络上信息传播安全：网络安全设备监控和控制非法或有害信息的传播，避免公用网络上信息传输的失控，确保信息传播后果的安全。</w:t>
      </w:r>
    </w:p>
    <w:p>
      <w:pPr>
        <w:pStyle w:val="2"/>
      </w:pPr>
      <w:r>
        <w:rPr>
          <w:rFonts w:hint="eastAsia"/>
        </w:rPr>
        <w:t>4. 维护网络上信息内容的安全：这些设备侧重于保护信息的保密性、真实性和完整性，防止攻击者利用系统漏洞进行窃听、伪装或诈骗等行为，从而维护用户的利益和隐私。</w:t>
      </w:r>
    </w:p>
    <w:p>
      <w:pPr>
        <w:pStyle w:val="2"/>
      </w:pPr>
      <w:r>
        <w:rPr>
          <w:rFonts w:hint="eastAsia"/>
        </w:rPr>
        <w:t>常见的网络安全设备包括：</w:t>
      </w:r>
    </w:p>
    <w:p>
      <w:pPr>
        <w:pStyle w:val="2"/>
      </w:pPr>
      <w:r>
        <w:rPr>
          <w:rFonts w:hint="eastAsia"/>
        </w:rPr>
        <w:t>1. 防火墙：结合软件和硬件，构建内外网之间的保护屏障，通过监测和限制数据流，保护网络的安全。</w:t>
      </w:r>
    </w:p>
    <w:p>
      <w:pPr>
        <w:pStyle w:val="2"/>
      </w:pPr>
      <w:r>
        <w:rPr>
          <w:rFonts w:hint="eastAsia"/>
        </w:rPr>
        <w:t>2. IDS（入侵检测系统）：搜集和分析信息，监控网络中是否存在违反安全策略的行为或入侵行为，提供安全审计、监视、攻击识别和响应功能。</w:t>
      </w:r>
    </w:p>
    <w:p>
      <w:pPr>
        <w:pStyle w:val="2"/>
      </w:pPr>
      <w:r>
        <w:rPr>
          <w:rFonts w:hint="eastAsia"/>
        </w:rPr>
        <w:t>3. IPS（入侵防御系统）：监视网络资料传输行为，中断、调整或隔离异常或有害的网络传输，侧重于风险控制。</w:t>
      </w:r>
    </w:p>
    <w:p>
      <w:pPr>
        <w:pStyle w:val="2"/>
      </w:pPr>
      <w:r>
        <w:rPr>
          <w:rFonts w:hint="eastAsia"/>
        </w:rPr>
        <w:t>4. 漏洞扫描设备：检测计算机系统的安全脆弱性，识别可利用的漏洞，并提示管理人员进行修复。</w:t>
      </w:r>
    </w:p>
    <w:p>
      <w:pPr>
        <w:pStyle w:val="2"/>
      </w:pPr>
    </w:p>
    <w:p>
      <w:pPr>
        <w:pStyle w:val="2"/>
        <w:rPr>
          <w:rFonts w:ascii="宋体" w:hAnsi="宋体"/>
          <w:b/>
          <w:bCs/>
          <w:sz w:val="24"/>
        </w:rPr>
      </w:pPr>
      <w:r>
        <w:rPr>
          <w:rFonts w:hint="eastAsia" w:ascii="宋体" w:hAnsi="宋体"/>
          <w:b/>
          <w:bCs/>
          <w:sz w:val="24"/>
        </w:rPr>
        <w:t>6、技术规格</w:t>
      </w:r>
      <w:bookmarkEnd w:id="539"/>
      <w:bookmarkEnd w:id="540"/>
    </w:p>
    <w:p>
      <w:pPr>
        <w:pStyle w:val="4"/>
        <w:keepNext w:val="0"/>
        <w:keepLines w:val="0"/>
        <w:pageBreakBefore/>
        <w:tabs>
          <w:tab w:val="left" w:pos="5580"/>
        </w:tabs>
        <w:spacing w:before="120" w:beforeLines="50" w:after="120" w:afterLines="50" w:line="360" w:lineRule="auto"/>
        <w:rPr>
          <w:rFonts w:ascii="宋体" w:hAnsi="宋体" w:eastAsia="宋体"/>
          <w:sz w:val="21"/>
          <w:szCs w:val="21"/>
          <w:highlight w:val="yellow"/>
        </w:rPr>
      </w:pP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6453"/>
        <w:gridCol w:w="976"/>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8" w:type="pct"/>
            <w:gridSpan w:val="3"/>
          </w:tcPr>
          <w:p>
            <w:pPr>
              <w:jc w:val="center"/>
              <w:rPr>
                <w:szCs w:val="21"/>
              </w:rPr>
            </w:pPr>
            <w:r>
              <w:rPr>
                <w:rFonts w:hint="eastAsia"/>
                <w:b/>
                <w:szCs w:val="21"/>
              </w:rPr>
              <w:t>1.入侵防御系统</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tcPr>
          <w:p>
            <w:pPr>
              <w:jc w:val="left"/>
            </w:pPr>
            <w:r>
              <w:t>URS</w:t>
            </w:r>
            <w:r>
              <w:rPr>
                <w:rFonts w:hint="eastAsia"/>
              </w:rPr>
              <w:t>01-0</w:t>
            </w:r>
            <w:r>
              <w:t>1</w:t>
            </w:r>
          </w:p>
        </w:tc>
        <w:tc>
          <w:tcPr>
            <w:tcW w:w="3334" w:type="pct"/>
            <w:vAlign w:val="center"/>
          </w:tcPr>
          <w:p>
            <w:pPr>
              <w:rPr>
                <w:sz w:val="18"/>
                <w:szCs w:val="18"/>
              </w:rPr>
            </w:pPr>
            <w:r>
              <w:rPr>
                <w:rFonts w:hint="eastAsia"/>
                <w:b/>
                <w:bCs/>
                <w:sz w:val="18"/>
                <w:szCs w:val="18"/>
              </w:rPr>
              <w:t>硬件指标：</w:t>
            </w:r>
            <w:r>
              <w:rPr>
                <w:rFonts w:hint="eastAsia"/>
                <w:sz w:val="18"/>
                <w:szCs w:val="18"/>
              </w:rPr>
              <w:t>设备≥</w:t>
            </w:r>
            <w:r>
              <w:rPr>
                <w:sz w:val="18"/>
                <w:szCs w:val="18"/>
              </w:rPr>
              <w:t>1</w:t>
            </w:r>
            <w:r>
              <w:rPr>
                <w:rFonts w:hint="eastAsia"/>
                <w:sz w:val="18"/>
                <w:szCs w:val="18"/>
              </w:rPr>
              <w:t>U,内存≥4G，机械硬盘≥1T，千兆电口≥6个，整机吞吐率≥</w:t>
            </w:r>
            <w:r>
              <w:rPr>
                <w:sz w:val="18"/>
                <w:szCs w:val="18"/>
              </w:rPr>
              <w:t>8Gbps</w:t>
            </w:r>
            <w:r>
              <w:rPr>
                <w:rFonts w:hint="eastAsia"/>
                <w:sz w:val="18"/>
                <w:szCs w:val="18"/>
              </w:rPr>
              <w:t>，IPS吞吐率≥</w:t>
            </w:r>
            <w:r>
              <w:rPr>
                <w:sz w:val="18"/>
                <w:szCs w:val="18"/>
              </w:rPr>
              <w:t>2Gbps</w:t>
            </w:r>
            <w:r>
              <w:rPr>
                <w:rFonts w:hint="eastAsia"/>
                <w:sz w:val="18"/>
                <w:szCs w:val="18"/>
              </w:rPr>
              <w:t>，含1年攻击知识库升级许可,1年网站知识库升级许可。</w:t>
            </w:r>
          </w:p>
        </w:tc>
        <w:tc>
          <w:tcPr>
            <w:tcW w:w="504" w:type="pct"/>
          </w:tcPr>
          <w:p>
            <w:pPr>
              <w:jc w:val="center"/>
              <w:rPr>
                <w:szCs w:val="21"/>
              </w:rPr>
            </w:pPr>
            <w:r>
              <w:rPr>
                <w:szCs w:val="21"/>
              </w:rPr>
              <w:t>必须</w:t>
            </w:r>
          </w:p>
          <w:p>
            <w:pPr>
              <w:pStyle w:val="2"/>
              <w:jc w:val="center"/>
              <w:rPr>
                <w:szCs w:val="21"/>
              </w:rPr>
            </w:pPr>
            <w:r>
              <w:rPr>
                <w:rFonts w:hint="eastAsia" w:ascii="宋体" w:hAnsi="宋体" w:cs="宋体"/>
                <w:szCs w:val="21"/>
              </w:rPr>
              <w:t>★</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tcPr>
          <w:p>
            <w:pPr>
              <w:jc w:val="left"/>
            </w:pPr>
            <w:r>
              <w:t>URS</w:t>
            </w:r>
            <w:r>
              <w:rPr>
                <w:rFonts w:hint="eastAsia"/>
              </w:rPr>
              <w:t>01-0</w:t>
            </w:r>
            <w:r>
              <w:t>2</w:t>
            </w:r>
          </w:p>
        </w:tc>
        <w:tc>
          <w:tcPr>
            <w:tcW w:w="3334" w:type="pct"/>
            <w:vAlign w:val="center"/>
          </w:tcPr>
          <w:p>
            <w:pPr>
              <w:pStyle w:val="2"/>
            </w:pPr>
            <w:r>
              <w:rPr>
                <w:rFonts w:hint="eastAsia" w:ascii="宋体" w:hAnsi="宋体" w:cs="宋体"/>
                <w:b/>
                <w:bCs/>
                <w:sz w:val="18"/>
                <w:szCs w:val="18"/>
              </w:rPr>
              <w:t>软件要求：</w:t>
            </w:r>
            <w:r>
              <w:rPr>
                <w:rFonts w:hint="eastAsia" w:ascii="宋体" w:hAnsi="宋体" w:cs="宋体"/>
                <w:sz w:val="18"/>
                <w:szCs w:val="18"/>
              </w:rPr>
              <w:t>1.★</w:t>
            </w:r>
            <w:r>
              <w:rPr>
                <w:rFonts w:hint="eastAsia"/>
                <w:sz w:val="18"/>
                <w:szCs w:val="18"/>
              </w:rPr>
              <w:t>支持多操作系统引导，出于安全性考虑，多系统需在设备启动过程中进行选择，不得在WEB维护界面中设置系统切换选项；2.</w:t>
            </w:r>
            <w:r>
              <w:rPr>
                <w:rFonts w:hint="eastAsia" w:ascii="宋体" w:hAnsi="宋体" w:cs="宋体"/>
                <w:sz w:val="18"/>
                <w:szCs w:val="18"/>
              </w:rPr>
              <w:t>★</w:t>
            </w:r>
            <w:r>
              <w:rPr>
                <w:rFonts w:hint="eastAsia"/>
                <w:sz w:val="18"/>
                <w:szCs w:val="18"/>
              </w:rPr>
              <w:t>设备采用“一种建立多核运行环境的方法”，可以使设备具有较高的性能</w:t>
            </w:r>
          </w:p>
        </w:tc>
        <w:tc>
          <w:tcPr>
            <w:tcW w:w="504" w:type="pct"/>
          </w:tcPr>
          <w:p>
            <w:pPr>
              <w:jc w:val="center"/>
              <w:rPr>
                <w:szCs w:val="21"/>
              </w:rPr>
            </w:pPr>
            <w:r>
              <w:rPr>
                <w:szCs w:val="21"/>
              </w:rPr>
              <w:t>必须</w:t>
            </w:r>
          </w:p>
          <w:p>
            <w:pPr>
              <w:pStyle w:val="2"/>
              <w:jc w:val="center"/>
              <w:rPr>
                <w:szCs w:val="21"/>
              </w:rPr>
            </w:pPr>
            <w:r>
              <w:rPr>
                <w:rFonts w:hint="eastAsia" w:ascii="宋体" w:hAnsi="宋体" w:cs="宋体"/>
                <w:szCs w:val="21"/>
              </w:rPr>
              <w:t>★</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pPr>
              <w:jc w:val="center"/>
            </w:pPr>
            <w:r>
              <w:t>URS</w:t>
            </w:r>
            <w:r>
              <w:rPr>
                <w:rFonts w:hint="eastAsia"/>
              </w:rPr>
              <w:t>01-0</w:t>
            </w:r>
            <w:r>
              <w:t>3</w:t>
            </w:r>
          </w:p>
        </w:tc>
        <w:tc>
          <w:tcPr>
            <w:tcW w:w="3334" w:type="pct"/>
            <w:vAlign w:val="center"/>
          </w:tcPr>
          <w:p>
            <w:pPr>
              <w:rPr>
                <w:szCs w:val="21"/>
              </w:rPr>
            </w:pPr>
            <w:r>
              <w:rPr>
                <w:rFonts w:hint="eastAsia"/>
                <w:b/>
                <w:bCs/>
                <w:sz w:val="18"/>
                <w:szCs w:val="18"/>
              </w:rPr>
              <w:t>系统联动：</w:t>
            </w:r>
            <w:r>
              <w:rPr>
                <w:rFonts w:hint="eastAsia"/>
                <w:sz w:val="18"/>
                <w:szCs w:val="18"/>
              </w:rPr>
              <w:t>★支持与防火墙联动，自动在防火墙上生成相关策略，阻断攻击。</w:t>
            </w:r>
          </w:p>
        </w:tc>
        <w:tc>
          <w:tcPr>
            <w:tcW w:w="504" w:type="pct"/>
            <w:vAlign w:val="center"/>
          </w:tcPr>
          <w:p>
            <w:pPr>
              <w:jc w:val="center"/>
              <w:rPr>
                <w:szCs w:val="21"/>
              </w:rPr>
            </w:pPr>
            <w:r>
              <w:rPr>
                <w:rFonts w:hint="eastAsia"/>
                <w:szCs w:val="21"/>
              </w:rPr>
              <w:t>必须</w:t>
            </w:r>
          </w:p>
          <w:p>
            <w:pPr>
              <w:pStyle w:val="2"/>
              <w:jc w:val="center"/>
              <w:rPr>
                <w:szCs w:val="21"/>
              </w:rPr>
            </w:pPr>
            <w:r>
              <w:rPr>
                <w:rFonts w:hint="eastAsia" w:ascii="宋体" w:hAnsi="宋体" w:cs="宋体"/>
                <w:szCs w:val="21"/>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tcPr>
          <w:p>
            <w:pPr>
              <w:jc w:val="left"/>
            </w:pPr>
            <w:r>
              <w:t>URS</w:t>
            </w:r>
            <w:r>
              <w:rPr>
                <w:rFonts w:hint="eastAsia"/>
              </w:rPr>
              <w:t>01-0</w:t>
            </w:r>
            <w:r>
              <w:t>4</w:t>
            </w:r>
          </w:p>
        </w:tc>
        <w:tc>
          <w:tcPr>
            <w:tcW w:w="3334" w:type="pct"/>
          </w:tcPr>
          <w:p>
            <w:pPr>
              <w:rPr>
                <w:sz w:val="18"/>
                <w:szCs w:val="18"/>
              </w:rPr>
            </w:pPr>
            <w:r>
              <w:rPr>
                <w:rFonts w:hint="eastAsia"/>
                <w:b/>
                <w:bCs/>
                <w:sz w:val="18"/>
                <w:szCs w:val="18"/>
              </w:rPr>
              <w:t>流量采集：</w:t>
            </w:r>
            <w:r>
              <w:rPr>
                <w:rFonts w:hint="eastAsia"/>
                <w:sz w:val="18"/>
                <w:szCs w:val="18"/>
              </w:rPr>
              <w:t>1.★支持流量采集功能，支持在设备界面对服务器地址、端口、以及采样百分比进行设置。2.</w:t>
            </w:r>
            <w:r>
              <w:rPr>
                <w:rFonts w:hint="eastAsia"/>
              </w:rPr>
              <w:t xml:space="preserve"> </w:t>
            </w:r>
            <w:r>
              <w:rPr>
                <w:rFonts w:hint="eastAsia"/>
                <w:sz w:val="18"/>
                <w:szCs w:val="18"/>
              </w:rPr>
              <w:t>★支持流量采集策略设置，对流量采集的方向、时间、源IP地址、目的IP地址、源端口、目的端口进行设置。</w:t>
            </w:r>
          </w:p>
        </w:tc>
        <w:tc>
          <w:tcPr>
            <w:tcW w:w="504" w:type="pct"/>
          </w:tcPr>
          <w:p>
            <w:pPr>
              <w:jc w:val="center"/>
              <w:rPr>
                <w:szCs w:val="21"/>
              </w:rPr>
            </w:pPr>
            <w:r>
              <w:rPr>
                <w:szCs w:val="21"/>
              </w:rPr>
              <w:t>必须</w:t>
            </w:r>
          </w:p>
          <w:p>
            <w:pPr>
              <w:pStyle w:val="2"/>
              <w:jc w:val="center"/>
              <w:rPr>
                <w:szCs w:val="21"/>
              </w:rPr>
            </w:pPr>
            <w:r>
              <w:rPr>
                <w:rFonts w:hint="eastAsia" w:ascii="宋体" w:hAnsi="宋体" w:cs="宋体"/>
                <w:szCs w:val="21"/>
              </w:rPr>
              <w:t>★</w:t>
            </w:r>
          </w:p>
        </w:tc>
        <w:tc>
          <w:tcPr>
            <w:tcW w:w="482" w:type="pct"/>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01-0</w:t>
            </w:r>
            <w:r>
              <w:t>5</w:t>
            </w:r>
          </w:p>
        </w:tc>
        <w:tc>
          <w:tcPr>
            <w:tcW w:w="3334" w:type="pct"/>
            <w:vAlign w:val="center"/>
          </w:tcPr>
          <w:p>
            <w:pPr>
              <w:widowControl/>
              <w:rPr>
                <w:sz w:val="18"/>
                <w:szCs w:val="18"/>
              </w:rPr>
            </w:pPr>
            <w:r>
              <w:rPr>
                <w:rFonts w:hint="eastAsia"/>
                <w:b/>
                <w:bCs/>
                <w:sz w:val="18"/>
                <w:szCs w:val="18"/>
              </w:rPr>
              <w:t>入侵防御功能：</w:t>
            </w:r>
            <w:r>
              <w:rPr>
                <w:rFonts w:hint="eastAsia"/>
                <w:sz w:val="18"/>
                <w:szCs w:val="18"/>
              </w:rPr>
              <w:t>1.系统应具备：融合模式匹配、协议分析、异常检测、会话关联分析，逃逸等多种技术，准确识别入侵攻击行为，为用户提供2~7层深度入侵防御。2. 要求支持丢弃报文、记录日志、禁止连接、TCP reset结束TCP会话等多种响应动作3. 要求支持自定义攻击检测规则。4. 要求支持黑名单，将攻击源加入黑名单，一段时间内禁止访问5. 应涵盖广泛的攻击特征库、能够针对4100种以上攻击的攻击行为、异常事件，以及网络资源滥用流量，进行检测和防御。</w:t>
            </w:r>
          </w:p>
          <w:p>
            <w:pPr>
              <w:pStyle w:val="2"/>
              <w:rPr>
                <w:sz w:val="18"/>
                <w:szCs w:val="18"/>
              </w:rPr>
            </w:pPr>
            <w:r>
              <w:rPr>
                <w:rFonts w:hint="eastAsia"/>
                <w:sz w:val="18"/>
                <w:szCs w:val="18"/>
              </w:rPr>
              <w:t>6. 要求能够检测包括溢出攻击类、RPC攻击类、WEBCGI攻击类、拒绝服务类、木马类、蠕虫类、扫描类、网络访问类、HTTP攻击类、系统漏洞类等在内的超过4100种攻击事件。7.</w:t>
            </w:r>
            <w:r>
              <w:rPr>
                <w:rFonts w:hint="eastAsia"/>
              </w:rPr>
              <w:t xml:space="preserve"> </w:t>
            </w:r>
            <w:r>
              <w:rPr>
                <w:rFonts w:hint="eastAsia"/>
                <w:sz w:val="18"/>
                <w:szCs w:val="18"/>
              </w:rPr>
              <w:t>★支持自定义规则，并且自定义规则库可以导入导出（提供设备管理界面截图）8.</w:t>
            </w:r>
            <w:r>
              <w:rPr>
                <w:rFonts w:hint="eastAsia"/>
              </w:rPr>
              <w:t xml:space="preserve"> </w:t>
            </w:r>
            <w:r>
              <w:rPr>
                <w:rFonts w:hint="eastAsia"/>
                <w:sz w:val="18"/>
                <w:szCs w:val="18"/>
              </w:rPr>
              <w:t>★要求支持攻击报文取证功能，检测到攻击事件后将原始报文完整记录下来，作为电子证据。9.</w:t>
            </w:r>
            <w:r>
              <w:rPr>
                <w:rFonts w:hint="eastAsia"/>
              </w:rPr>
              <w:t xml:space="preserve"> </w:t>
            </w:r>
            <w:r>
              <w:rPr>
                <w:rFonts w:hint="eastAsia"/>
                <w:sz w:val="18"/>
                <w:szCs w:val="18"/>
              </w:rPr>
              <w:t>★支持对协议组的流量阀值和连接数进行设置及报警，协议组类型包括P2P类、即时通讯类、标准协议类、移动应用类、http应用类、工控互联网类等。10.</w:t>
            </w:r>
            <w:r>
              <w:rPr>
                <w:rFonts w:hint="eastAsia"/>
              </w:rPr>
              <w:t xml:space="preserve"> </w:t>
            </w:r>
            <w:r>
              <w:rPr>
                <w:rFonts w:hint="eastAsia"/>
                <w:sz w:val="18"/>
                <w:szCs w:val="18"/>
              </w:rPr>
              <w:t>★系统应支持多种形式的日志存储，本地存储、发送至日志服务器、本地日志服务器双存储、自动方式判断日志服务器状态自动决定日志的记录方式。11.</w:t>
            </w:r>
            <w:r>
              <w:rPr>
                <w:rFonts w:hint="eastAsia"/>
              </w:rPr>
              <w:t xml:space="preserve"> </w:t>
            </w:r>
            <w:r>
              <w:rPr>
                <w:rFonts w:hint="eastAsia"/>
                <w:sz w:val="18"/>
                <w:szCs w:val="18"/>
              </w:rPr>
              <w:t>★系统支持攻击检测日志中可以直观的展示攻击事件中的攻击特征编码。12.</w:t>
            </w:r>
            <w:r>
              <w:rPr>
                <w:rFonts w:hint="eastAsia"/>
              </w:rPr>
              <w:t xml:space="preserve"> </w:t>
            </w:r>
            <w:r>
              <w:rPr>
                <w:rFonts w:hint="eastAsia"/>
                <w:sz w:val="18"/>
                <w:szCs w:val="18"/>
              </w:rPr>
              <w:t>★支持外发日志服务器时，自定义字符编码格式GBK/UTF8。</w:t>
            </w:r>
          </w:p>
        </w:tc>
        <w:tc>
          <w:tcPr>
            <w:tcW w:w="504" w:type="pct"/>
            <w:vAlign w:val="center"/>
          </w:tcPr>
          <w:p>
            <w:pPr>
              <w:jc w:val="center"/>
              <w:rPr>
                <w:szCs w:val="21"/>
              </w:rPr>
            </w:pPr>
            <w:r>
              <w:rPr>
                <w:szCs w:val="21"/>
              </w:rPr>
              <w:t>必须</w:t>
            </w:r>
          </w:p>
          <w:p>
            <w:pPr>
              <w:pStyle w:val="2"/>
              <w:jc w:val="center"/>
              <w:rPr>
                <w:szCs w:val="21"/>
              </w:rPr>
            </w:pPr>
            <w:r>
              <w:rPr>
                <w:rFonts w:hint="eastAsia" w:ascii="宋体" w:hAnsi="宋体" w:cs="宋体"/>
                <w:szCs w:val="21"/>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8" w:type="pct"/>
            <w:gridSpan w:val="3"/>
            <w:vAlign w:val="center"/>
          </w:tcPr>
          <w:p>
            <w:pPr>
              <w:jc w:val="center"/>
              <w:rPr>
                <w:b/>
                <w:bCs/>
              </w:rPr>
            </w:pPr>
            <w:r>
              <w:rPr>
                <w:rFonts w:hint="eastAsia"/>
                <w:b/>
                <w:bCs/>
              </w:rPr>
              <w:t>2.日志收集与分析系统</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02-01</w:t>
            </w:r>
          </w:p>
        </w:tc>
        <w:tc>
          <w:tcPr>
            <w:tcW w:w="3334" w:type="pct"/>
            <w:vAlign w:val="center"/>
          </w:tcPr>
          <w:p>
            <w:pPr>
              <w:rPr>
                <w:szCs w:val="21"/>
              </w:rPr>
            </w:pPr>
            <w:r>
              <w:rPr>
                <w:rFonts w:hint="eastAsia"/>
                <w:b/>
                <w:bCs/>
                <w:sz w:val="18"/>
                <w:szCs w:val="18"/>
              </w:rPr>
              <w:t>硬件指标：</w:t>
            </w:r>
            <w:r>
              <w:rPr>
                <w:rFonts w:hint="eastAsia"/>
                <w:sz w:val="18"/>
                <w:szCs w:val="18"/>
              </w:rPr>
              <w:t>设备≥1U,内存≥16G，系统盘≥120G固态硬盘，数据盘≥2T机械硬盘，千兆电口≥6个，千兆光口≥2个，冗余电源,扩展槽位≥2个, 日志采集处理速度≥1000EPS；包含不低于30个日志源授权。</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02-02</w:t>
            </w:r>
          </w:p>
        </w:tc>
        <w:tc>
          <w:tcPr>
            <w:tcW w:w="3334" w:type="pct"/>
            <w:vAlign w:val="center"/>
          </w:tcPr>
          <w:p>
            <w:pPr>
              <w:rPr>
                <w:sz w:val="18"/>
                <w:szCs w:val="18"/>
              </w:rPr>
            </w:pPr>
            <w:r>
              <w:rPr>
                <w:b/>
                <w:bCs/>
                <w:sz w:val="18"/>
                <w:szCs w:val="18"/>
              </w:rPr>
              <w:t>系统部署</w:t>
            </w:r>
            <w:r>
              <w:rPr>
                <w:rFonts w:hint="eastAsia"/>
                <w:b/>
                <w:bCs/>
                <w:sz w:val="18"/>
                <w:szCs w:val="18"/>
              </w:rPr>
              <w:t>：</w:t>
            </w:r>
            <w:r>
              <w:rPr>
                <w:rFonts w:hint="eastAsia"/>
                <w:sz w:val="18"/>
                <w:szCs w:val="18"/>
              </w:rPr>
              <w:t>支持单级部署、支持多级部署；</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02-03</w:t>
            </w:r>
          </w:p>
        </w:tc>
        <w:tc>
          <w:tcPr>
            <w:tcW w:w="3334" w:type="pct"/>
            <w:vAlign w:val="center"/>
          </w:tcPr>
          <w:p>
            <w:pPr>
              <w:rPr>
                <w:b/>
                <w:bCs/>
                <w:sz w:val="18"/>
                <w:szCs w:val="18"/>
              </w:rPr>
            </w:pPr>
            <w:r>
              <w:rPr>
                <w:b/>
                <w:bCs/>
                <w:sz w:val="18"/>
                <w:szCs w:val="18"/>
              </w:rPr>
              <w:t>系统性能</w:t>
            </w:r>
            <w:r>
              <w:rPr>
                <w:rFonts w:hint="eastAsia"/>
                <w:b/>
                <w:bCs/>
                <w:sz w:val="18"/>
                <w:szCs w:val="18"/>
              </w:rPr>
              <w:t>：</w:t>
            </w:r>
          </w:p>
          <w:p>
            <w:pPr>
              <w:rPr>
                <w:sz w:val="18"/>
                <w:szCs w:val="18"/>
              </w:rPr>
            </w:pPr>
            <w:r>
              <w:rPr>
                <w:rFonts w:hint="eastAsia"/>
                <w:sz w:val="18"/>
                <w:szCs w:val="18"/>
              </w:rPr>
              <w:t>日志采集峰值：35000EPS</w:t>
            </w:r>
          </w:p>
          <w:p>
            <w:pPr>
              <w:rPr>
                <w:sz w:val="18"/>
                <w:szCs w:val="18"/>
              </w:rPr>
            </w:pPr>
            <w:r>
              <w:rPr>
                <w:rFonts w:hint="eastAsia"/>
                <w:sz w:val="18"/>
                <w:szCs w:val="18"/>
              </w:rPr>
              <w:t>日志采集均值：20000EPS</w:t>
            </w:r>
          </w:p>
          <w:p>
            <w:pPr>
              <w:rPr>
                <w:sz w:val="18"/>
                <w:szCs w:val="18"/>
              </w:rPr>
            </w:pPr>
            <w:r>
              <w:rPr>
                <w:rFonts w:hint="eastAsia"/>
                <w:sz w:val="18"/>
                <w:szCs w:val="18"/>
              </w:rPr>
              <w:t>综合处理峰值：35000EPS</w:t>
            </w:r>
          </w:p>
          <w:p>
            <w:pPr>
              <w:rPr>
                <w:sz w:val="18"/>
                <w:szCs w:val="18"/>
              </w:rPr>
            </w:pPr>
            <w:r>
              <w:rPr>
                <w:rFonts w:hint="eastAsia"/>
                <w:sz w:val="18"/>
                <w:szCs w:val="18"/>
              </w:rPr>
              <w:t>综合处理均值：20000EPS</w:t>
            </w:r>
          </w:p>
          <w:p>
            <w:pPr>
              <w:rPr>
                <w:sz w:val="18"/>
                <w:szCs w:val="18"/>
              </w:rPr>
            </w:pPr>
            <w:r>
              <w:rPr>
                <w:rFonts w:hint="eastAsia"/>
                <w:sz w:val="18"/>
                <w:szCs w:val="18"/>
              </w:rPr>
              <w:t>数据存储能力：支持大数据存储；压缩加密存储，压缩比不低于10:1；日志存储不低于20000条/M</w:t>
            </w:r>
          </w:p>
          <w:p>
            <w:pPr>
              <w:rPr>
                <w:b/>
                <w:bCs/>
                <w:szCs w:val="21"/>
              </w:rPr>
            </w:pPr>
            <w:r>
              <w:rPr>
                <w:rFonts w:hint="eastAsia"/>
                <w:sz w:val="18"/>
                <w:szCs w:val="18"/>
              </w:rPr>
              <w:t>★支持BT级数据交互式多条件查询,百亿级数据查询结果返回延时小于10s。</w:t>
            </w:r>
          </w:p>
        </w:tc>
        <w:tc>
          <w:tcPr>
            <w:tcW w:w="504" w:type="pct"/>
            <w:vAlign w:val="center"/>
          </w:tcPr>
          <w:p>
            <w:pPr>
              <w:jc w:val="center"/>
            </w:pPr>
            <w:r>
              <w:t>必须</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02-04</w:t>
            </w:r>
          </w:p>
        </w:tc>
        <w:tc>
          <w:tcPr>
            <w:tcW w:w="3334" w:type="pct"/>
            <w:vAlign w:val="center"/>
          </w:tcPr>
          <w:p>
            <w:pPr>
              <w:rPr>
                <w:sz w:val="18"/>
                <w:szCs w:val="18"/>
              </w:rPr>
            </w:pPr>
            <w:r>
              <w:rPr>
                <w:b/>
                <w:bCs/>
                <w:sz w:val="18"/>
                <w:szCs w:val="18"/>
              </w:rPr>
              <w:t>数据采集</w:t>
            </w:r>
            <w:r>
              <w:rPr>
                <w:rFonts w:hint="eastAsia"/>
                <w:b/>
                <w:bCs/>
                <w:sz w:val="18"/>
                <w:szCs w:val="18"/>
              </w:rPr>
              <w:t>：</w:t>
            </w:r>
            <w:r>
              <w:rPr>
                <w:rFonts w:hint="eastAsia"/>
                <w:sz w:val="18"/>
                <w:szCs w:val="18"/>
              </w:rPr>
              <w:t>支持安全设备、网络设备、中间件、服务器、数据库、操作系统、业务系统等不少于26类300种日志对象的日志数据采集。</w:t>
            </w:r>
          </w:p>
          <w:p>
            <w:pPr>
              <w:rPr>
                <w:sz w:val="18"/>
                <w:szCs w:val="18"/>
              </w:rPr>
            </w:pPr>
            <w:r>
              <w:rPr>
                <w:rFonts w:hint="eastAsia"/>
                <w:sz w:val="18"/>
                <w:szCs w:val="18"/>
              </w:rPr>
              <w:t>支持实时自动刷新每个日志源的实时日志列表，支持在实时日志界面通过选择过滤器来监视所关注的特定类型的日志；</w:t>
            </w:r>
          </w:p>
          <w:p>
            <w:pPr>
              <w:rPr>
                <w:sz w:val="18"/>
                <w:szCs w:val="18"/>
              </w:rPr>
            </w:pPr>
            <w:r>
              <w:rPr>
                <w:rFonts w:hint="eastAsia"/>
                <w:sz w:val="18"/>
                <w:szCs w:val="18"/>
              </w:rPr>
              <w:t>支持首页展示日志采集总量统计，可按不同日志源种类分类显示日志总量及大小，并支持导出；</w:t>
            </w:r>
          </w:p>
          <w:p>
            <w:pPr>
              <w:rPr>
                <w:sz w:val="18"/>
                <w:szCs w:val="18"/>
              </w:rPr>
            </w:pPr>
            <w:r>
              <w:rPr>
                <w:rFonts w:hint="eastAsia"/>
                <w:sz w:val="18"/>
                <w:szCs w:val="18"/>
              </w:rPr>
              <w:t>支持独立展示每个被采集源最近24小时的日志数量趋势，便于掌握设备的安全事件情况，支持独立展示每个设备日志的最新采集时间，便于了解设备日志的采集状态；</w:t>
            </w:r>
            <w:r>
              <w:rPr>
                <w:sz w:val="18"/>
                <w:szCs w:val="18"/>
              </w:rPr>
              <w:t xml:space="preserve"> </w:t>
            </w:r>
          </w:p>
          <w:p>
            <w:pPr>
              <w:rPr>
                <w:sz w:val="18"/>
                <w:szCs w:val="18"/>
              </w:rPr>
            </w:pPr>
            <w:r>
              <w:rPr>
                <w:rFonts w:hint="eastAsia"/>
                <w:sz w:val="18"/>
                <w:szCs w:val="18"/>
              </w:rPr>
              <w:t xml:space="preserve">★支持对日志流量非常大但是日志重要程度低的syslog类型日志源进行限制接收速率，降低对系统资源的占用，保障重要日志的收集； </w:t>
            </w:r>
          </w:p>
          <w:p>
            <w:pPr>
              <w:rPr>
                <w:b/>
                <w:bCs/>
                <w:szCs w:val="21"/>
              </w:rPr>
            </w:pPr>
            <w:r>
              <w:rPr>
                <w:rFonts w:hint="eastAsia"/>
                <w:sz w:val="18"/>
                <w:szCs w:val="18"/>
              </w:rPr>
              <w:t>★支持IPv6/IPv4双栈环境部署，对IPv6/IPv4日志源的日志进行高速采集；</w:t>
            </w:r>
            <w:r>
              <w:rPr>
                <w:b/>
                <w:bCs/>
                <w:szCs w:val="21"/>
              </w:rPr>
              <w:t xml:space="preserve"> </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02-05</w:t>
            </w:r>
          </w:p>
        </w:tc>
        <w:tc>
          <w:tcPr>
            <w:tcW w:w="3334" w:type="pct"/>
            <w:vAlign w:val="center"/>
          </w:tcPr>
          <w:p>
            <w:pPr>
              <w:rPr>
                <w:b/>
                <w:bCs/>
                <w:sz w:val="18"/>
                <w:szCs w:val="18"/>
              </w:rPr>
            </w:pPr>
            <w:r>
              <w:rPr>
                <w:b/>
                <w:bCs/>
                <w:sz w:val="18"/>
                <w:szCs w:val="18"/>
              </w:rPr>
              <w:t>数据存储</w:t>
            </w:r>
            <w:r>
              <w:rPr>
                <w:rFonts w:hint="eastAsia"/>
                <w:b/>
                <w:bCs/>
                <w:sz w:val="18"/>
                <w:szCs w:val="18"/>
              </w:rPr>
              <w:t>：</w:t>
            </w:r>
          </w:p>
          <w:p>
            <w:pPr>
              <w:rPr>
                <w:sz w:val="18"/>
                <w:szCs w:val="18"/>
              </w:rPr>
            </w:pPr>
            <w:r>
              <w:rPr>
                <w:rFonts w:hint="eastAsia"/>
                <w:sz w:val="18"/>
                <w:szCs w:val="18"/>
              </w:rPr>
              <w:t xml:space="preserve">★支持根据设备重要程度设置独立设置每个被采集源的日志、报表数据存储时间为1个月、3个月、6个月和永久保存等参数； </w:t>
            </w:r>
          </w:p>
          <w:p>
            <w:pPr>
              <w:rPr>
                <w:sz w:val="18"/>
                <w:szCs w:val="18"/>
              </w:rPr>
            </w:pPr>
            <w:r>
              <w:rPr>
                <w:rFonts w:hint="eastAsia"/>
                <w:sz w:val="18"/>
                <w:szCs w:val="18"/>
              </w:rPr>
              <w:t>支持自定义存储位置，支持多盘并行存储，当磁盘满后自动切换存储位置，支持磁盘阵列、SAN、DAS等外部高性能存储；</w:t>
            </w:r>
          </w:p>
          <w:p>
            <w:pPr>
              <w:rPr>
                <w:b/>
                <w:bCs/>
                <w:sz w:val="18"/>
                <w:szCs w:val="18"/>
              </w:rPr>
            </w:pPr>
            <w:r>
              <w:rPr>
                <w:rFonts w:hint="eastAsia"/>
                <w:sz w:val="18"/>
                <w:szCs w:val="18"/>
              </w:rPr>
              <w:t>★支持IPv6日志的全量存储；</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02-06</w:t>
            </w:r>
          </w:p>
        </w:tc>
        <w:tc>
          <w:tcPr>
            <w:tcW w:w="3334" w:type="pct"/>
            <w:vAlign w:val="center"/>
          </w:tcPr>
          <w:p>
            <w:pPr>
              <w:rPr>
                <w:b/>
                <w:bCs/>
                <w:sz w:val="18"/>
                <w:szCs w:val="18"/>
              </w:rPr>
            </w:pPr>
            <w:r>
              <w:rPr>
                <w:rFonts w:hint="eastAsia"/>
                <w:b/>
                <w:bCs/>
                <w:sz w:val="18"/>
                <w:szCs w:val="18"/>
              </w:rPr>
              <w:t>数据查询：</w:t>
            </w:r>
          </w:p>
          <w:p>
            <w:pPr>
              <w:pStyle w:val="2"/>
              <w:rPr>
                <w:sz w:val="18"/>
                <w:szCs w:val="18"/>
              </w:rPr>
            </w:pPr>
            <w:r>
              <w:rPr>
                <w:rFonts w:hint="eastAsia"/>
                <w:sz w:val="18"/>
                <w:szCs w:val="18"/>
              </w:rPr>
              <w:t>支持首页以全国地图、全球地图展示最近24小时日志访问源和访问目的的分布，能根据颜色区分访问来源和访问目的数据量大小，能够通过首页地图快速下钻查询指定区域的日志详细信息；</w:t>
            </w:r>
          </w:p>
          <w:p>
            <w:pPr>
              <w:pStyle w:val="2"/>
            </w:pPr>
            <w:r>
              <w:rPr>
                <w:rFonts w:hint="eastAsia"/>
                <w:sz w:val="18"/>
                <w:szCs w:val="18"/>
              </w:rPr>
              <w:t>★支持为不同类型日志设置不同的查询条件和显示条件。</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02-07</w:t>
            </w:r>
          </w:p>
        </w:tc>
        <w:tc>
          <w:tcPr>
            <w:tcW w:w="3334" w:type="pct"/>
            <w:vAlign w:val="center"/>
          </w:tcPr>
          <w:p>
            <w:pPr>
              <w:rPr>
                <w:b/>
                <w:bCs/>
                <w:sz w:val="18"/>
                <w:szCs w:val="18"/>
              </w:rPr>
            </w:pPr>
            <w:r>
              <w:rPr>
                <w:rFonts w:hint="eastAsia"/>
                <w:b/>
                <w:bCs/>
                <w:sz w:val="18"/>
                <w:szCs w:val="18"/>
              </w:rPr>
              <w:t>告警管理：</w:t>
            </w:r>
          </w:p>
          <w:p>
            <w:pPr>
              <w:rPr>
                <w:sz w:val="18"/>
                <w:szCs w:val="18"/>
              </w:rPr>
            </w:pPr>
            <w:r>
              <w:rPr>
                <w:rFonts w:hint="eastAsia"/>
                <w:sz w:val="18"/>
                <w:szCs w:val="18"/>
              </w:rPr>
              <w:t>支持实时告警展示，可根据告警规则、告警级别两个维度进行实时告警监视，并可对刷新事件间隔进行设定；</w:t>
            </w:r>
          </w:p>
          <w:p>
            <w:pPr>
              <w:rPr>
                <w:sz w:val="18"/>
                <w:szCs w:val="18"/>
              </w:rPr>
            </w:pPr>
            <w:r>
              <w:rPr>
                <w:rFonts w:hint="eastAsia"/>
                <w:sz w:val="18"/>
                <w:szCs w:val="18"/>
              </w:rPr>
              <w:t>★支持基于时间轴展示告警数据分布，能够通过时间轴进行查询分析；</w:t>
            </w:r>
            <w:r>
              <w:rPr>
                <w:sz w:val="18"/>
                <w:szCs w:val="18"/>
              </w:rPr>
              <w:t xml:space="preserve"> </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02-08</w:t>
            </w:r>
          </w:p>
        </w:tc>
        <w:tc>
          <w:tcPr>
            <w:tcW w:w="3334" w:type="pct"/>
            <w:vAlign w:val="center"/>
          </w:tcPr>
          <w:p>
            <w:pPr>
              <w:rPr>
                <w:b/>
                <w:bCs/>
                <w:sz w:val="18"/>
                <w:szCs w:val="18"/>
              </w:rPr>
            </w:pPr>
            <w:r>
              <w:rPr>
                <w:rFonts w:hint="eastAsia"/>
                <w:b/>
                <w:bCs/>
                <w:sz w:val="18"/>
                <w:szCs w:val="18"/>
              </w:rPr>
              <w:t>告警响应：</w:t>
            </w:r>
          </w:p>
          <w:p>
            <w:pPr>
              <w:pStyle w:val="2"/>
              <w:rPr>
                <w:sz w:val="18"/>
                <w:szCs w:val="18"/>
              </w:rPr>
            </w:pPr>
            <w:r>
              <w:rPr>
                <w:rFonts w:hint="eastAsia"/>
                <w:sz w:val="18"/>
                <w:szCs w:val="18"/>
              </w:rPr>
              <w:t>支持邮件、Snmp Trap、声音、声光、短信、一信通响应、数据库响应等多种告警方式，支持报警内容引用字段变量参数。</w:t>
            </w:r>
          </w:p>
        </w:tc>
        <w:tc>
          <w:tcPr>
            <w:tcW w:w="504" w:type="pct"/>
            <w:vAlign w:val="center"/>
          </w:tcPr>
          <w:p>
            <w:pPr>
              <w:jc w:val="center"/>
            </w:pPr>
            <w:r>
              <w:rPr>
                <w:rFonts w:hint="eastAsia"/>
              </w:rPr>
              <w:t>必须</w:t>
            </w:r>
          </w:p>
          <w:p>
            <w:pPr>
              <w:jc w:val="center"/>
            </w:pP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02-09</w:t>
            </w:r>
          </w:p>
        </w:tc>
        <w:tc>
          <w:tcPr>
            <w:tcW w:w="3334" w:type="pct"/>
            <w:vAlign w:val="center"/>
          </w:tcPr>
          <w:p>
            <w:pPr>
              <w:rPr>
                <w:b/>
                <w:bCs/>
                <w:sz w:val="18"/>
                <w:szCs w:val="18"/>
              </w:rPr>
            </w:pPr>
            <w:r>
              <w:rPr>
                <w:b/>
                <w:bCs/>
                <w:sz w:val="18"/>
                <w:szCs w:val="18"/>
              </w:rPr>
              <w:t>统计报表管理</w:t>
            </w:r>
            <w:r>
              <w:rPr>
                <w:rFonts w:hint="eastAsia"/>
                <w:b/>
                <w:bCs/>
                <w:sz w:val="18"/>
                <w:szCs w:val="18"/>
              </w:rPr>
              <w:t>：</w:t>
            </w:r>
          </w:p>
          <w:p>
            <w:pPr>
              <w:pStyle w:val="2"/>
            </w:pPr>
            <w:r>
              <w:rPr>
                <w:rFonts w:hint="eastAsia" w:ascii="宋体" w:hAnsi="宋体" w:cs="宋体"/>
                <w:sz w:val="18"/>
                <w:szCs w:val="18"/>
              </w:rPr>
              <w:t>★</w:t>
            </w:r>
            <w:r>
              <w:rPr>
                <w:rFonts w:hint="eastAsia" w:asciiTheme="minorHAnsi" w:hAnsiTheme="minorHAnsi" w:eastAsiaTheme="minorEastAsia"/>
                <w:sz w:val="18"/>
                <w:szCs w:val="18"/>
              </w:rPr>
              <w:t>系统内置上百种报表模版，支持自动实现智能报表创建，每添加一个日志源，系统自动分析日志源类型进行相应报表创建，无需人工干预，报表和资产一一对应；</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02-10</w:t>
            </w:r>
          </w:p>
        </w:tc>
        <w:tc>
          <w:tcPr>
            <w:tcW w:w="3334" w:type="pct"/>
            <w:vAlign w:val="center"/>
          </w:tcPr>
          <w:p>
            <w:pPr>
              <w:rPr>
                <w:b/>
                <w:bCs/>
                <w:sz w:val="18"/>
                <w:szCs w:val="18"/>
              </w:rPr>
            </w:pPr>
            <w:r>
              <w:rPr>
                <w:b/>
                <w:bCs/>
                <w:sz w:val="18"/>
                <w:szCs w:val="18"/>
              </w:rPr>
              <w:t>日志源管理</w:t>
            </w:r>
            <w:r>
              <w:rPr>
                <w:rFonts w:hint="eastAsia"/>
                <w:b/>
                <w:bCs/>
                <w:sz w:val="18"/>
                <w:szCs w:val="18"/>
              </w:rPr>
              <w:t>：</w:t>
            </w:r>
          </w:p>
          <w:p>
            <w:pPr>
              <w:pStyle w:val="2"/>
              <w:rPr>
                <w:sz w:val="18"/>
                <w:szCs w:val="18"/>
              </w:rPr>
            </w:pPr>
            <w:r>
              <w:rPr>
                <w:rFonts w:hint="eastAsia"/>
                <w:sz w:val="18"/>
                <w:szCs w:val="18"/>
              </w:rPr>
              <w:t>支持按照日志源名称、IP地址、日志源类型、接受时间及状态等维度对日志源列表进行排序；</w:t>
            </w:r>
          </w:p>
          <w:p>
            <w:pPr>
              <w:pStyle w:val="2"/>
              <w:rPr>
                <w:sz w:val="18"/>
                <w:szCs w:val="18"/>
              </w:rPr>
            </w:pPr>
            <w:r>
              <w:rPr>
                <w:rFonts w:hint="eastAsia"/>
                <w:sz w:val="18"/>
                <w:szCs w:val="18"/>
              </w:rPr>
              <w:t>支持为日志源指定类型、名称、IP地址、收集节点、收集方式、以及日志源启停状态等属性信息；</w:t>
            </w:r>
          </w:p>
          <w:p>
            <w:pPr>
              <w:pStyle w:val="2"/>
            </w:pPr>
            <w:r>
              <w:rPr>
                <w:rFonts w:hint="eastAsia"/>
                <w:sz w:val="18"/>
                <w:szCs w:val="18"/>
              </w:rPr>
              <w:t>★支持对重点日志源的关注设置，并可通过关注列表快速查看重点日志源的状态、当日日志量、采集日志总量、最近接收时间、业务组等基础信息；</w:t>
            </w:r>
            <w:r>
              <w:rPr>
                <w:rFonts w:hint="eastAsia"/>
              </w:rPr>
              <w:t xml:space="preserve"> </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02-11</w:t>
            </w:r>
          </w:p>
        </w:tc>
        <w:tc>
          <w:tcPr>
            <w:tcW w:w="3334" w:type="pct"/>
            <w:vAlign w:val="center"/>
          </w:tcPr>
          <w:p>
            <w:pPr>
              <w:rPr>
                <w:b/>
                <w:bCs/>
                <w:sz w:val="18"/>
                <w:szCs w:val="18"/>
              </w:rPr>
            </w:pPr>
            <w:r>
              <w:rPr>
                <w:b/>
                <w:bCs/>
                <w:sz w:val="18"/>
                <w:szCs w:val="18"/>
              </w:rPr>
              <w:t>系统管理</w:t>
            </w:r>
            <w:r>
              <w:rPr>
                <w:rFonts w:hint="eastAsia"/>
                <w:b/>
                <w:bCs/>
                <w:sz w:val="18"/>
                <w:szCs w:val="18"/>
              </w:rPr>
              <w:t>：</w:t>
            </w:r>
          </w:p>
          <w:p>
            <w:pPr>
              <w:pStyle w:val="2"/>
              <w:rPr>
                <w:sz w:val="18"/>
                <w:szCs w:val="18"/>
              </w:rPr>
            </w:pPr>
            <w:r>
              <w:rPr>
                <w:rFonts w:hint="eastAsia"/>
                <w:sz w:val="18"/>
                <w:szCs w:val="18"/>
              </w:rPr>
              <w:t>★系统具有防恶意暴力破解账号与口令功能，口令错误次数可设置，超过错误次数锁定，锁定时间可设置。</w:t>
            </w:r>
          </w:p>
          <w:p>
            <w:pPr>
              <w:pStyle w:val="2"/>
              <w:rPr>
                <w:sz w:val="18"/>
                <w:szCs w:val="18"/>
              </w:rPr>
            </w:pPr>
            <w:r>
              <w:rPr>
                <w:rFonts w:hint="eastAsia"/>
                <w:sz w:val="18"/>
                <w:szCs w:val="18"/>
              </w:rPr>
              <w:t>★支持将常用IP地址或IP地址网段标记为自定义名称，在日志查询界面可以在IP列中对应悬浮显示自定义名称；</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8" w:type="pct"/>
            <w:gridSpan w:val="3"/>
            <w:vAlign w:val="center"/>
          </w:tcPr>
          <w:p>
            <w:pPr>
              <w:jc w:val="center"/>
              <w:rPr>
                <w:b/>
                <w:bCs/>
              </w:rPr>
            </w:pPr>
            <w:r>
              <w:rPr>
                <w:rFonts w:hint="eastAsia"/>
                <w:b/>
                <w:bCs/>
              </w:rPr>
              <w:t>3. 脆弱性扫描与管理系统</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03-01</w:t>
            </w:r>
          </w:p>
        </w:tc>
        <w:tc>
          <w:tcPr>
            <w:tcW w:w="3334" w:type="pct"/>
            <w:vAlign w:val="center"/>
          </w:tcPr>
          <w:p>
            <w:pPr>
              <w:rPr>
                <w:b/>
                <w:bCs/>
                <w:sz w:val="18"/>
                <w:szCs w:val="18"/>
              </w:rPr>
            </w:pPr>
            <w:r>
              <w:rPr>
                <w:b/>
                <w:bCs/>
                <w:sz w:val="18"/>
                <w:szCs w:val="18"/>
              </w:rPr>
              <w:t>硬件要求</w:t>
            </w:r>
            <w:r>
              <w:rPr>
                <w:rFonts w:hint="eastAsia"/>
                <w:b/>
                <w:bCs/>
                <w:sz w:val="18"/>
                <w:szCs w:val="18"/>
              </w:rPr>
              <w:t>：</w:t>
            </w:r>
          </w:p>
          <w:p>
            <w:pPr>
              <w:pStyle w:val="2"/>
              <w:rPr>
                <w:sz w:val="18"/>
                <w:szCs w:val="18"/>
              </w:rPr>
            </w:pPr>
            <w:r>
              <w:rPr>
                <w:rFonts w:hint="eastAsia"/>
                <w:sz w:val="18"/>
                <w:szCs w:val="18"/>
              </w:rPr>
              <w:t>设备≥1U,内存≥8G，机械硬盘≥1T，千兆电口≥6个，支持无限制IP扫描授权，并发扫描≥40个IP地址，并发扫描≥5个系统扫描任务；支持≥40个域名扫描授权，并发扫描≥3个web任务。含1年规则库升级许可</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03-02</w:t>
            </w:r>
          </w:p>
        </w:tc>
        <w:tc>
          <w:tcPr>
            <w:tcW w:w="3334" w:type="pct"/>
            <w:vAlign w:val="center"/>
          </w:tcPr>
          <w:p>
            <w:pPr>
              <w:rPr>
                <w:rFonts w:asciiTheme="minorEastAsia" w:hAnsiTheme="minorEastAsia"/>
                <w:b/>
                <w:bCs/>
                <w:sz w:val="18"/>
                <w:szCs w:val="18"/>
              </w:rPr>
            </w:pPr>
            <w:r>
              <w:rPr>
                <w:rFonts w:hint="eastAsia" w:asciiTheme="minorEastAsia" w:hAnsiTheme="minorEastAsia"/>
                <w:b/>
                <w:bCs/>
                <w:sz w:val="18"/>
                <w:szCs w:val="18"/>
              </w:rPr>
              <w:t>安全性：</w:t>
            </w:r>
          </w:p>
          <w:p>
            <w:pPr>
              <w:pStyle w:val="2"/>
              <w:rPr>
                <w:sz w:val="18"/>
                <w:szCs w:val="18"/>
              </w:rPr>
            </w:pPr>
            <w:r>
              <w:rPr>
                <w:rFonts w:hint="eastAsia"/>
                <w:sz w:val="18"/>
                <w:szCs w:val="18"/>
              </w:rPr>
              <w:t>产品应支持对系统配置进行备份、恢复功能，保证产品系统数据的安全性；</w:t>
            </w:r>
          </w:p>
          <w:p>
            <w:pPr>
              <w:pStyle w:val="2"/>
              <w:rPr>
                <w:sz w:val="18"/>
                <w:szCs w:val="18"/>
              </w:rPr>
            </w:pPr>
            <w:r>
              <w:rPr>
                <w:rFonts w:hint="eastAsia"/>
                <w:sz w:val="18"/>
                <w:szCs w:val="18"/>
              </w:rPr>
              <w:t>★支持首次登录系统强制修改密码功能，防止使用默认密码；</w:t>
            </w:r>
          </w:p>
          <w:p>
            <w:pPr>
              <w:pStyle w:val="2"/>
            </w:pPr>
            <w:r>
              <w:rPr>
                <w:rFonts w:hint="eastAsia"/>
                <w:sz w:val="18"/>
                <w:szCs w:val="18"/>
              </w:rPr>
              <w:t>用户多次登录失败时，自动锁定，允许自定义超时时间及登陆失败次数；</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03-03</w:t>
            </w:r>
          </w:p>
        </w:tc>
        <w:tc>
          <w:tcPr>
            <w:tcW w:w="3334" w:type="pct"/>
            <w:vAlign w:val="center"/>
          </w:tcPr>
          <w:p>
            <w:pPr>
              <w:rPr>
                <w:rFonts w:asciiTheme="minorEastAsia" w:hAnsiTheme="minorEastAsia"/>
                <w:b/>
                <w:bCs/>
                <w:sz w:val="18"/>
                <w:szCs w:val="18"/>
              </w:rPr>
            </w:pPr>
            <w:r>
              <w:rPr>
                <w:rFonts w:hint="eastAsia" w:asciiTheme="minorEastAsia" w:hAnsiTheme="minorEastAsia"/>
                <w:b/>
                <w:bCs/>
                <w:sz w:val="18"/>
                <w:szCs w:val="18"/>
              </w:rPr>
              <w:t>系统联动：</w:t>
            </w:r>
          </w:p>
          <w:p>
            <w:pPr>
              <w:pStyle w:val="2"/>
              <w:rPr>
                <w:sz w:val="18"/>
                <w:szCs w:val="18"/>
              </w:rPr>
            </w:pPr>
            <w:r>
              <w:rPr>
                <w:rFonts w:hint="eastAsia"/>
                <w:sz w:val="18"/>
                <w:szCs w:val="18"/>
              </w:rPr>
              <w:t>★支持防火墙联动功能，防火墙能根据漏扫提供的资产信息对重要资产信息进行防护，根据漏洞信息自动生成防护规则，保护内网安全。</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03-04</w:t>
            </w:r>
          </w:p>
        </w:tc>
        <w:tc>
          <w:tcPr>
            <w:tcW w:w="3334" w:type="pct"/>
            <w:vAlign w:val="center"/>
          </w:tcPr>
          <w:p>
            <w:pPr>
              <w:rPr>
                <w:b/>
                <w:bCs/>
                <w:sz w:val="18"/>
                <w:szCs w:val="18"/>
              </w:rPr>
            </w:pPr>
            <w:r>
              <w:rPr>
                <w:rFonts w:hint="eastAsia"/>
                <w:b/>
                <w:bCs/>
                <w:sz w:val="18"/>
                <w:szCs w:val="18"/>
              </w:rPr>
              <w:t>系统漏洞扫描能力要求：</w:t>
            </w:r>
          </w:p>
          <w:p>
            <w:pPr>
              <w:pStyle w:val="2"/>
              <w:rPr>
                <w:sz w:val="18"/>
                <w:szCs w:val="18"/>
              </w:rPr>
            </w:pPr>
            <w:r>
              <w:rPr>
                <w:rFonts w:hint="eastAsia"/>
                <w:sz w:val="18"/>
                <w:szCs w:val="18"/>
              </w:rPr>
              <w:t>★支持扫描系统漏洞数量大于240000种，web漏洞数量大于5000种,数据库大于3000种；</w:t>
            </w:r>
          </w:p>
          <w:p>
            <w:pPr>
              <w:pStyle w:val="2"/>
              <w:rPr>
                <w:sz w:val="18"/>
                <w:szCs w:val="18"/>
              </w:rPr>
            </w:pPr>
            <w:r>
              <w:rPr>
                <w:rFonts w:hint="eastAsia"/>
                <w:sz w:val="18"/>
                <w:szCs w:val="18"/>
              </w:rPr>
              <w:t>产品漏洞库应涵盖目前的安全漏洞和攻击特征，漏洞库具备至少CVE、CNCVE、CNVD、BUGTRAQ、CNNVD编号；</w:t>
            </w:r>
          </w:p>
          <w:p>
            <w:pPr>
              <w:pStyle w:val="2"/>
              <w:rPr>
                <w:sz w:val="18"/>
                <w:szCs w:val="18"/>
              </w:rPr>
            </w:pPr>
            <w:r>
              <w:rPr>
                <w:rFonts w:hint="eastAsia"/>
                <w:sz w:val="18"/>
                <w:szCs w:val="18"/>
              </w:rPr>
              <w:t>支持扫描虚拟机安全漏洞，如VMWare、EXSI、KVM、XEN、XenServer、HyperV，可扫描漏洞数量大于1500条；</w:t>
            </w:r>
          </w:p>
          <w:p>
            <w:pPr>
              <w:pStyle w:val="2"/>
              <w:rPr>
                <w:sz w:val="18"/>
                <w:szCs w:val="18"/>
              </w:rPr>
            </w:pPr>
            <w:r>
              <w:rPr>
                <w:rFonts w:hint="eastAsia"/>
                <w:sz w:val="18"/>
                <w:szCs w:val="18"/>
              </w:rPr>
              <w:t>★支持扫描大数据组件的安全漏洞，如Spark、Splunk、Kafka、Storm、Cassandra、Ambari、Impala、Solr、Oozie、Hbase、Hadoop等；</w:t>
            </w:r>
          </w:p>
          <w:p>
            <w:pPr>
              <w:pStyle w:val="2"/>
            </w:pPr>
            <w:r>
              <w:rPr>
                <w:rFonts w:hint="eastAsia"/>
                <w:sz w:val="18"/>
                <w:szCs w:val="18"/>
              </w:rPr>
              <w:t>★下发扫描任务时，扫描目标支持ip、域名、网段、子网的灵活组合配置</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03-05</w:t>
            </w:r>
          </w:p>
        </w:tc>
        <w:tc>
          <w:tcPr>
            <w:tcW w:w="3334" w:type="pct"/>
            <w:vAlign w:val="center"/>
          </w:tcPr>
          <w:p>
            <w:pPr>
              <w:rPr>
                <w:b/>
                <w:bCs/>
                <w:sz w:val="18"/>
                <w:szCs w:val="18"/>
              </w:rPr>
            </w:pPr>
            <w:r>
              <w:rPr>
                <w:rFonts w:hint="eastAsia"/>
                <w:b/>
                <w:bCs/>
                <w:sz w:val="18"/>
                <w:szCs w:val="18"/>
              </w:rPr>
              <w:t>Web漏洞扫描要求：</w:t>
            </w:r>
          </w:p>
          <w:p>
            <w:pPr>
              <w:pStyle w:val="2"/>
              <w:rPr>
                <w:sz w:val="18"/>
                <w:szCs w:val="18"/>
              </w:rPr>
            </w:pPr>
            <w:r>
              <w:rPr>
                <w:rFonts w:hint="eastAsia"/>
                <w:sz w:val="18"/>
                <w:szCs w:val="18"/>
              </w:rPr>
              <w:t>支持站点分组管理功能，可批量导入站点信息，并支持在站点管理下针对站点组或者单个站点直接开启扫描任务；</w:t>
            </w:r>
          </w:p>
          <w:p>
            <w:pPr>
              <w:pStyle w:val="2"/>
              <w:rPr>
                <w:sz w:val="18"/>
                <w:szCs w:val="18"/>
              </w:rPr>
            </w:pPr>
            <w:r>
              <w:rPr>
                <w:rFonts w:hint="eastAsia"/>
                <w:sz w:val="18"/>
                <w:szCs w:val="18"/>
              </w:rPr>
              <w:t>★支持站点组、单站点风险在线报表和站点特有属性配置站点信息包含但不限于：代理、认证、访问策略、爬取策略、指纹选项等信息；</w:t>
            </w:r>
          </w:p>
          <w:p>
            <w:pPr>
              <w:pStyle w:val="2"/>
              <w:rPr>
                <w:sz w:val="18"/>
                <w:szCs w:val="18"/>
              </w:rPr>
            </w:pPr>
            <w:r>
              <w:rPr>
                <w:rFonts w:hint="eastAsia"/>
                <w:sz w:val="18"/>
                <w:szCs w:val="18"/>
              </w:rPr>
              <w:t>http认证类型支持auto、basic、digest、ntlm；</w:t>
            </w:r>
          </w:p>
          <w:p>
            <w:pPr>
              <w:pStyle w:val="2"/>
            </w:pPr>
            <w:r>
              <w:rPr>
                <w:rFonts w:hint="eastAsia"/>
                <w:sz w:val="18"/>
                <w:szCs w:val="18"/>
              </w:rPr>
              <w:t>★支持排除路径名，可自定义无需爬取的URL链接；</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03-06</w:t>
            </w:r>
          </w:p>
        </w:tc>
        <w:tc>
          <w:tcPr>
            <w:tcW w:w="3334" w:type="pct"/>
            <w:vAlign w:val="center"/>
          </w:tcPr>
          <w:p>
            <w:pPr>
              <w:rPr>
                <w:b/>
                <w:bCs/>
                <w:sz w:val="18"/>
                <w:szCs w:val="18"/>
              </w:rPr>
            </w:pPr>
            <w:r>
              <w:rPr>
                <w:rFonts w:hint="eastAsia"/>
                <w:b/>
                <w:bCs/>
                <w:sz w:val="18"/>
                <w:szCs w:val="18"/>
              </w:rPr>
              <w:t>报表能力：</w:t>
            </w:r>
          </w:p>
          <w:p>
            <w:pPr>
              <w:pStyle w:val="2"/>
              <w:rPr>
                <w:sz w:val="18"/>
                <w:szCs w:val="18"/>
              </w:rPr>
            </w:pPr>
            <w:r>
              <w:rPr>
                <w:rFonts w:hint="eastAsia"/>
                <w:sz w:val="18"/>
                <w:szCs w:val="18"/>
              </w:rPr>
              <w:t>支持在线报表，可详细展示任务综述信息、站点列表、漏洞列表、对比分析及参考标准，漏洞分布支持风险等级过滤查看；</w:t>
            </w:r>
          </w:p>
          <w:p>
            <w:pPr>
              <w:pStyle w:val="2"/>
              <w:rPr>
                <w:sz w:val="18"/>
                <w:szCs w:val="18"/>
              </w:rPr>
            </w:pPr>
            <w:r>
              <w:rPr>
                <w:rFonts w:hint="eastAsia"/>
                <w:sz w:val="18"/>
                <w:szCs w:val="18"/>
              </w:rPr>
              <w:t>主机报表支持展示主机风险、漏洞信息，及主机详细的端口信息、端口Banner信息、安装软件信息、操作系统类型；</w:t>
            </w:r>
          </w:p>
          <w:p>
            <w:pPr>
              <w:pStyle w:val="2"/>
            </w:pPr>
            <w:r>
              <w:rPr>
                <w:rFonts w:hint="eastAsia"/>
                <w:sz w:val="18"/>
                <w:szCs w:val="18"/>
              </w:rPr>
              <w:t>★支持漏洞生命周期管理，包括未修复、确定、忽略、修复、已验证五种状态；</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8" w:type="pct"/>
            <w:gridSpan w:val="3"/>
            <w:vAlign w:val="center"/>
          </w:tcPr>
          <w:p>
            <w:pPr>
              <w:jc w:val="center"/>
              <w:rPr>
                <w:b/>
                <w:bCs/>
              </w:rPr>
            </w:pPr>
            <w:r>
              <w:rPr>
                <w:rFonts w:hint="eastAsia"/>
                <w:b/>
                <w:bCs/>
              </w:rPr>
              <w:t>4.防火墙</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04-01</w:t>
            </w:r>
          </w:p>
        </w:tc>
        <w:tc>
          <w:tcPr>
            <w:tcW w:w="3334" w:type="pct"/>
            <w:vAlign w:val="center"/>
          </w:tcPr>
          <w:p>
            <w:pPr>
              <w:rPr>
                <w:rFonts w:asciiTheme="minorEastAsia" w:hAnsiTheme="minorEastAsia"/>
                <w:b/>
                <w:bCs/>
                <w:sz w:val="18"/>
                <w:szCs w:val="18"/>
              </w:rPr>
            </w:pPr>
            <w:r>
              <w:rPr>
                <w:rFonts w:hint="eastAsia" w:asciiTheme="minorEastAsia" w:hAnsiTheme="minorEastAsia"/>
                <w:b/>
                <w:bCs/>
                <w:sz w:val="18"/>
                <w:szCs w:val="18"/>
              </w:rPr>
              <w:t>硬件指标：</w:t>
            </w:r>
          </w:p>
          <w:p>
            <w:pPr>
              <w:pStyle w:val="2"/>
              <w:rPr>
                <w:sz w:val="18"/>
                <w:szCs w:val="18"/>
              </w:rPr>
            </w:pPr>
            <w:r>
              <w:rPr>
                <w:rFonts w:hint="eastAsia"/>
                <w:sz w:val="18"/>
                <w:szCs w:val="18"/>
              </w:rPr>
              <w:t>设备≥1U,内存≥8G，机械硬盘≥1T，千兆电口≥6个， 不低于50个主机/设备许可，用户数不限制，图形并发≥25，字符并发≥50。</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04-02</w:t>
            </w:r>
          </w:p>
        </w:tc>
        <w:tc>
          <w:tcPr>
            <w:tcW w:w="3334" w:type="pct"/>
            <w:vAlign w:val="center"/>
          </w:tcPr>
          <w:p>
            <w:pPr>
              <w:rPr>
                <w:b/>
                <w:bCs/>
                <w:sz w:val="18"/>
                <w:szCs w:val="18"/>
              </w:rPr>
            </w:pPr>
            <w:r>
              <w:rPr>
                <w:b/>
                <w:bCs/>
                <w:sz w:val="18"/>
                <w:szCs w:val="18"/>
              </w:rPr>
              <w:t>性能要求：</w:t>
            </w:r>
          </w:p>
          <w:p>
            <w:r>
              <w:rPr>
                <w:sz w:val="18"/>
                <w:szCs w:val="18"/>
              </w:rPr>
              <w:t>整机吞吐量&gt;4G;最大并发连接数&gt;160 0000;每秒新建连接25000，IPS性能&gt;150Mbps;AV性能&gt;100Mbps。</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04-03</w:t>
            </w:r>
          </w:p>
        </w:tc>
        <w:tc>
          <w:tcPr>
            <w:tcW w:w="3334" w:type="pct"/>
            <w:vAlign w:val="center"/>
          </w:tcPr>
          <w:p>
            <w:pPr>
              <w:pStyle w:val="2"/>
              <w:rPr>
                <w:b/>
                <w:bCs/>
                <w:sz w:val="18"/>
                <w:szCs w:val="18"/>
              </w:rPr>
            </w:pPr>
            <w:r>
              <w:rPr>
                <w:b/>
                <w:bCs/>
                <w:sz w:val="18"/>
                <w:szCs w:val="18"/>
              </w:rPr>
              <w:t>应用控制及过滤：</w:t>
            </w:r>
          </w:p>
          <w:p>
            <w:pPr>
              <w:rPr>
                <w:sz w:val="18"/>
                <w:szCs w:val="18"/>
              </w:rPr>
            </w:pPr>
            <w:r>
              <w:rPr>
                <w:sz w:val="18"/>
                <w:szCs w:val="18"/>
              </w:rPr>
              <w:t>具备300种应用识别种类，支持 MSN ， QQ ， Skype 等 Instant Messenger 通信，并可对这些应用进行登陆限制 , 可限制 BT ， eMule ， eDonkey 等 P2P 应用 ，充分细化带宽应用。具备百万级URL库过滤功能，屏蔽恶意网站扫描。</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04-04</w:t>
            </w:r>
          </w:p>
        </w:tc>
        <w:tc>
          <w:tcPr>
            <w:tcW w:w="3334" w:type="pct"/>
            <w:vAlign w:val="center"/>
          </w:tcPr>
          <w:p>
            <w:pPr>
              <w:pStyle w:val="2"/>
              <w:rPr>
                <w:b/>
                <w:bCs/>
                <w:sz w:val="18"/>
                <w:szCs w:val="18"/>
              </w:rPr>
            </w:pPr>
            <w:r>
              <w:rPr>
                <w:b/>
                <w:bCs/>
                <w:sz w:val="18"/>
                <w:szCs w:val="18"/>
              </w:rPr>
              <w:t>WEB过滤：</w:t>
            </w:r>
          </w:p>
          <w:p>
            <w:pPr>
              <w:pStyle w:val="2"/>
              <w:rPr>
                <w:sz w:val="18"/>
                <w:szCs w:val="18"/>
              </w:rPr>
            </w:pPr>
            <w:r>
              <w:rPr>
                <w:sz w:val="18"/>
                <w:szCs w:val="18"/>
              </w:rPr>
              <w:t>具有绿色上网功能，具有87个分类，分类库的规模达到700万，具有支持挂马网站过滤、手动添加域名过滤。</w:t>
            </w:r>
          </w:p>
          <w:p>
            <w:pPr>
              <w:pStyle w:val="2"/>
              <w:rPr>
                <w:b/>
                <w:bCs/>
                <w:sz w:val="18"/>
                <w:szCs w:val="18"/>
              </w:rPr>
            </w:pPr>
            <w:r>
              <w:rPr>
                <w:b/>
                <w:bCs/>
                <w:sz w:val="18"/>
                <w:szCs w:val="18"/>
              </w:rPr>
              <w:t>网络适应性：</w:t>
            </w:r>
          </w:p>
          <w:p>
            <w:pPr>
              <w:pStyle w:val="2"/>
            </w:pPr>
            <w:r>
              <w:rPr>
                <w:sz w:val="18"/>
                <w:szCs w:val="18"/>
              </w:rPr>
              <w:t>支持静态路由、动态路由；支持策略路由；支持 Vlan 路由；支持 IGMP 组播协议；支持 802.1Q ；支持 ISL ；支持 802.1D 生成树协议；支持 ARP 代理、 ARP 学习；支持 DHCP ； 支持 ADSL 等宽带接入；支持网络时钟协议 SNTP ；支持 IPX 、 NetBEUI 等非 IP 协议。</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r>
              <w:t>URS</w:t>
            </w:r>
            <w:r>
              <w:rPr>
                <w:rFonts w:hint="eastAsia"/>
              </w:rPr>
              <w:t>04-05</w:t>
            </w:r>
          </w:p>
        </w:tc>
        <w:tc>
          <w:tcPr>
            <w:tcW w:w="3334" w:type="pct"/>
            <w:vAlign w:val="center"/>
          </w:tcPr>
          <w:p>
            <w:pPr>
              <w:rPr>
                <w:b/>
                <w:bCs/>
                <w:sz w:val="18"/>
                <w:szCs w:val="18"/>
              </w:rPr>
            </w:pPr>
            <w:r>
              <w:rPr>
                <w:b/>
                <w:bCs/>
                <w:sz w:val="18"/>
                <w:szCs w:val="18"/>
              </w:rPr>
              <w:t>配置管理：</w:t>
            </w:r>
          </w:p>
          <w:p>
            <w:r>
              <w:rPr>
                <w:sz w:val="18"/>
                <w:szCs w:val="18"/>
              </w:rPr>
              <w:t>支持 WEBUI 配置、命令行配置。支持本地配置、远程配置；支持基于 SSH 、 SSL 的安全配置；支持 SNMP 的 v1 、 v2 、 v 2c 、 v3 版本；支持远程维护和系统升级；可以进行配置文件的备份、下载、删除、恢复和上载，支持管理员的三权分立。</w:t>
            </w:r>
          </w:p>
        </w:tc>
        <w:tc>
          <w:tcPr>
            <w:tcW w:w="504" w:type="pct"/>
            <w:vAlign w:val="center"/>
          </w:tcPr>
          <w:p>
            <w:pPr>
              <w:jc w:val="center"/>
            </w:pPr>
            <w:r>
              <w:rPr>
                <w:rFonts w:hint="eastAsia"/>
              </w:rPr>
              <w:t>必须</w:t>
            </w:r>
          </w:p>
          <w:p>
            <w:pPr>
              <w:jc w:val="center"/>
            </w:pPr>
            <w:r>
              <w:rPr>
                <w:rFonts w:hint="eastAsia"/>
              </w:rPr>
              <w:t>★</w:t>
            </w:r>
          </w:p>
        </w:tc>
        <w:tc>
          <w:tcPr>
            <w:tcW w:w="482" w:type="pct"/>
            <w:vAlign w:val="center"/>
          </w:tcPr>
          <w:p>
            <w:pPr>
              <w:jc w:val="center"/>
            </w:pPr>
          </w:p>
        </w:tc>
      </w:tr>
    </w:tbl>
    <w:p>
      <w:pPr>
        <w:spacing w:line="360" w:lineRule="auto"/>
        <w:rPr>
          <w:b/>
          <w:bCs/>
          <w:szCs w:val="21"/>
          <w:lang w:val="en-GB"/>
        </w:rPr>
      </w:pPr>
      <w:r>
        <w:rPr>
          <w:rFonts w:hint="eastAsia" w:ascii="宋体" w:hAnsi="宋体" w:cs="宋体"/>
          <w:b/>
          <w:bCs/>
          <w:szCs w:val="21"/>
        </w:rPr>
        <w:t>备注：</w:t>
      </w:r>
      <w:r>
        <w:rPr>
          <w:rFonts w:hint="eastAsia"/>
        </w:rPr>
        <w:t>★</w:t>
      </w:r>
      <w:r>
        <w:rPr>
          <w:rFonts w:hint="eastAsia" w:ascii="宋体" w:hAnsi="宋体" w:cs="宋体"/>
          <w:b/>
          <w:bCs/>
          <w:szCs w:val="21"/>
        </w:rPr>
        <w:t>号条款必须满足</w:t>
      </w:r>
      <w:r>
        <w:rPr>
          <w:rFonts w:hint="eastAsia"/>
          <w:b/>
          <w:bCs/>
          <w:szCs w:val="21"/>
          <w:lang w:val="en-GB"/>
        </w:rPr>
        <w:t>。</w:t>
      </w:r>
    </w:p>
    <w:p>
      <w:pPr>
        <w:spacing w:line="360" w:lineRule="auto"/>
        <w:rPr>
          <w:rFonts w:ascii="宋体" w:hAnsi="宋体"/>
          <w:b/>
          <w:bCs/>
          <w:sz w:val="24"/>
        </w:rPr>
      </w:pPr>
    </w:p>
    <w:p>
      <w:pPr>
        <w:spacing w:line="360" w:lineRule="auto"/>
        <w:rPr>
          <w:rFonts w:ascii="宋体" w:hAnsi="宋体"/>
          <w:szCs w:val="21"/>
        </w:rPr>
      </w:pPr>
    </w:p>
    <w:sectPr>
      <w:pgSz w:w="11906" w:h="16838"/>
      <w:pgMar w:top="1440" w:right="1080" w:bottom="1440" w:left="1080" w:header="454" w:footer="624" w:gutter="284"/>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47</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2">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33BF54D2"/>
    <w:multiLevelType w:val="multilevel"/>
    <w:tmpl w:val="33BF54D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9">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0">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5"/>
  </w:num>
  <w:num w:numId="3">
    <w:abstractNumId w:val="10"/>
  </w:num>
  <w:num w:numId="4">
    <w:abstractNumId w:val="1"/>
  </w:num>
  <w:num w:numId="5">
    <w:abstractNumId w:val="9"/>
  </w:num>
  <w:num w:numId="6">
    <w:abstractNumId w:val="3"/>
  </w:num>
  <w:num w:numId="7">
    <w:abstractNumId w:val="4"/>
  </w:num>
  <w:num w:numId="8">
    <w:abstractNumId w:val="8"/>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2E3"/>
    <w:rsid w:val="0008531C"/>
    <w:rsid w:val="000853B2"/>
    <w:rsid w:val="00086661"/>
    <w:rsid w:val="00087017"/>
    <w:rsid w:val="000877B4"/>
    <w:rsid w:val="00087D98"/>
    <w:rsid w:val="00090342"/>
    <w:rsid w:val="000906DA"/>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477"/>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67F0"/>
    <w:rsid w:val="001C72F0"/>
    <w:rsid w:val="001C76E3"/>
    <w:rsid w:val="001C799D"/>
    <w:rsid w:val="001D098C"/>
    <w:rsid w:val="001D199C"/>
    <w:rsid w:val="001D252B"/>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AB6"/>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B48"/>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27AA5"/>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4CD"/>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346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34A"/>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E74EA"/>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187F"/>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31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3FD"/>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1FDB"/>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FE3"/>
    <w:rsid w:val="00735C41"/>
    <w:rsid w:val="007375E4"/>
    <w:rsid w:val="00740D0F"/>
    <w:rsid w:val="00741FCA"/>
    <w:rsid w:val="00742FF7"/>
    <w:rsid w:val="007434B9"/>
    <w:rsid w:val="00744078"/>
    <w:rsid w:val="00745AAF"/>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2F0"/>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586"/>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9ED"/>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198"/>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0DCF"/>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1F38"/>
    <w:rsid w:val="0096234F"/>
    <w:rsid w:val="00963293"/>
    <w:rsid w:val="009636CA"/>
    <w:rsid w:val="00963EED"/>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6F73"/>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3A4A"/>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3BB7"/>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0FE2"/>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0BD8"/>
    <w:rsid w:val="00B8238C"/>
    <w:rsid w:val="00B83171"/>
    <w:rsid w:val="00B83AD5"/>
    <w:rsid w:val="00B83B52"/>
    <w:rsid w:val="00B847AD"/>
    <w:rsid w:val="00B86251"/>
    <w:rsid w:val="00B86578"/>
    <w:rsid w:val="00B87CB4"/>
    <w:rsid w:val="00B911B4"/>
    <w:rsid w:val="00B933A0"/>
    <w:rsid w:val="00B93615"/>
    <w:rsid w:val="00B950C6"/>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3E2A"/>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EE7"/>
    <w:rsid w:val="00C21AC2"/>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5B18"/>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48C"/>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3926"/>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CBE"/>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566B6"/>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234"/>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6AF3684"/>
    <w:rsid w:val="06B042CD"/>
    <w:rsid w:val="07E038E8"/>
    <w:rsid w:val="080659C6"/>
    <w:rsid w:val="0925677D"/>
    <w:rsid w:val="09CB535A"/>
    <w:rsid w:val="0B7B5FB0"/>
    <w:rsid w:val="0D5E59FB"/>
    <w:rsid w:val="0DE767B1"/>
    <w:rsid w:val="0EB11898"/>
    <w:rsid w:val="0FDB2A12"/>
    <w:rsid w:val="10517EA5"/>
    <w:rsid w:val="11A03DC9"/>
    <w:rsid w:val="120E28FB"/>
    <w:rsid w:val="1255519F"/>
    <w:rsid w:val="12C54559"/>
    <w:rsid w:val="131A6CCD"/>
    <w:rsid w:val="132D32BA"/>
    <w:rsid w:val="13B9747D"/>
    <w:rsid w:val="140D7929"/>
    <w:rsid w:val="14474A22"/>
    <w:rsid w:val="149B4612"/>
    <w:rsid w:val="14EB162B"/>
    <w:rsid w:val="15517106"/>
    <w:rsid w:val="155B0D1A"/>
    <w:rsid w:val="16983918"/>
    <w:rsid w:val="17996C95"/>
    <w:rsid w:val="197E6F57"/>
    <w:rsid w:val="1BB41BF4"/>
    <w:rsid w:val="1C1F3F30"/>
    <w:rsid w:val="1C4A05F8"/>
    <w:rsid w:val="1C940142"/>
    <w:rsid w:val="1D0443F5"/>
    <w:rsid w:val="1E016C54"/>
    <w:rsid w:val="1E0F4A61"/>
    <w:rsid w:val="1E1C5EBA"/>
    <w:rsid w:val="1EC2785D"/>
    <w:rsid w:val="1EE05DD3"/>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D31237B"/>
    <w:rsid w:val="2E953B0D"/>
    <w:rsid w:val="2FE65C05"/>
    <w:rsid w:val="313B2B55"/>
    <w:rsid w:val="32086374"/>
    <w:rsid w:val="32E20907"/>
    <w:rsid w:val="331B6105"/>
    <w:rsid w:val="331C6058"/>
    <w:rsid w:val="33541CF7"/>
    <w:rsid w:val="3510699D"/>
    <w:rsid w:val="3572793B"/>
    <w:rsid w:val="35DC3C36"/>
    <w:rsid w:val="36CD6FED"/>
    <w:rsid w:val="370B41DA"/>
    <w:rsid w:val="37CA4679"/>
    <w:rsid w:val="39C73D2B"/>
    <w:rsid w:val="39F61D71"/>
    <w:rsid w:val="3A1F37E7"/>
    <w:rsid w:val="3B440B41"/>
    <w:rsid w:val="3B550ADC"/>
    <w:rsid w:val="3BC06797"/>
    <w:rsid w:val="3C263F3D"/>
    <w:rsid w:val="3C2A54F7"/>
    <w:rsid w:val="3D612AF7"/>
    <w:rsid w:val="3D775F60"/>
    <w:rsid w:val="3E7C5347"/>
    <w:rsid w:val="3F6E2720"/>
    <w:rsid w:val="3FF74F59"/>
    <w:rsid w:val="4168543C"/>
    <w:rsid w:val="41940D75"/>
    <w:rsid w:val="41B177CB"/>
    <w:rsid w:val="420E64EB"/>
    <w:rsid w:val="438E45DF"/>
    <w:rsid w:val="43EC3731"/>
    <w:rsid w:val="446B764F"/>
    <w:rsid w:val="447F06F9"/>
    <w:rsid w:val="45321C18"/>
    <w:rsid w:val="462425BA"/>
    <w:rsid w:val="46901553"/>
    <w:rsid w:val="46BB7E19"/>
    <w:rsid w:val="46F863AF"/>
    <w:rsid w:val="47607C0F"/>
    <w:rsid w:val="478168DD"/>
    <w:rsid w:val="486636D8"/>
    <w:rsid w:val="489A6511"/>
    <w:rsid w:val="49041A60"/>
    <w:rsid w:val="495E19D1"/>
    <w:rsid w:val="4A9E67FA"/>
    <w:rsid w:val="4BE347CE"/>
    <w:rsid w:val="4DDC797C"/>
    <w:rsid w:val="4DE80860"/>
    <w:rsid w:val="4E324158"/>
    <w:rsid w:val="4E872C30"/>
    <w:rsid w:val="4F211D8B"/>
    <w:rsid w:val="4F9A758A"/>
    <w:rsid w:val="500C2385"/>
    <w:rsid w:val="5061750A"/>
    <w:rsid w:val="50C76663"/>
    <w:rsid w:val="534C0841"/>
    <w:rsid w:val="536740F0"/>
    <w:rsid w:val="54186A87"/>
    <w:rsid w:val="54277E31"/>
    <w:rsid w:val="562035D8"/>
    <w:rsid w:val="5742551F"/>
    <w:rsid w:val="574B69D7"/>
    <w:rsid w:val="5755318B"/>
    <w:rsid w:val="57C644F1"/>
    <w:rsid w:val="586413C3"/>
    <w:rsid w:val="588E5626"/>
    <w:rsid w:val="59B64F6B"/>
    <w:rsid w:val="5ACD7484"/>
    <w:rsid w:val="5BC47EE6"/>
    <w:rsid w:val="5D5B475A"/>
    <w:rsid w:val="5E650765"/>
    <w:rsid w:val="5F2C4A61"/>
    <w:rsid w:val="60077CD1"/>
    <w:rsid w:val="60776633"/>
    <w:rsid w:val="60822DFD"/>
    <w:rsid w:val="612742F0"/>
    <w:rsid w:val="61A00F3D"/>
    <w:rsid w:val="61B677DD"/>
    <w:rsid w:val="64383EFC"/>
    <w:rsid w:val="659D7CC2"/>
    <w:rsid w:val="66D457C1"/>
    <w:rsid w:val="66D5386B"/>
    <w:rsid w:val="66DF73D5"/>
    <w:rsid w:val="67BF471F"/>
    <w:rsid w:val="6A150E82"/>
    <w:rsid w:val="6A2151A2"/>
    <w:rsid w:val="6AE849F3"/>
    <w:rsid w:val="6BCA157E"/>
    <w:rsid w:val="6C697C1A"/>
    <w:rsid w:val="6CDB60A6"/>
    <w:rsid w:val="6E732CC4"/>
    <w:rsid w:val="6EBF31DC"/>
    <w:rsid w:val="6F772368"/>
    <w:rsid w:val="71140B24"/>
    <w:rsid w:val="717148AB"/>
    <w:rsid w:val="71A22E75"/>
    <w:rsid w:val="727A779D"/>
    <w:rsid w:val="727F30E6"/>
    <w:rsid w:val="72A2493C"/>
    <w:rsid w:val="737115E9"/>
    <w:rsid w:val="741729C0"/>
    <w:rsid w:val="752E2E69"/>
    <w:rsid w:val="764F6E03"/>
    <w:rsid w:val="76D07CAF"/>
    <w:rsid w:val="77AA1C36"/>
    <w:rsid w:val="787D06DA"/>
    <w:rsid w:val="7B7C20E7"/>
    <w:rsid w:val="7B8067E6"/>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22"/>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出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
    <w:name w:val="font31"/>
    <w:qFormat/>
    <w:uiPriority w:val="0"/>
    <w:rPr>
      <w:rFonts w:hint="default" w:ascii="Times New Roman" w:hAnsi="Times New Roman" w:cs="Times New Roman"/>
      <w:color w:val="000000"/>
      <w:sz w:val="20"/>
      <w:szCs w:val="20"/>
      <w:u w:val="none"/>
    </w:rPr>
  </w:style>
  <w:style w:type="paragraph" w:customStyle="1" w:styleId="180">
    <w:name w:val="marklang-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181">
    <w:name w:val="cosd-citation-citationid"/>
    <w:basedOn w:val="4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51</Pages>
  <Words>5384</Words>
  <Characters>30694</Characters>
  <Lines>255</Lines>
  <Paragraphs>72</Paragraphs>
  <TotalTime>173</TotalTime>
  <ScaleCrop>false</ScaleCrop>
  <LinksUpToDate>false</LinksUpToDate>
  <CharactersWithSpaces>36006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2025-06-06T01:13:00Z</dcterms:created>
  <dc:creator>acer</dc:creator>
  <cp:lastModifiedBy>扬州威克公文收文员</cp:lastModifiedBy>
  <cp:lastPrinted>2022-01-04T06:46:00Z</cp:lastPrinted>
  <dcterms:modified xsi:type="dcterms:W3CDTF">2025-06-09T01:20:33Z</dcterms:modified>
  <dc:title>附件二：</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8254F6F36F444864B7EEA083FF4EE958</vt:lpwstr>
  </property>
  <property fmtid="{D5CDD505-2E9C-101B-9397-08002B2CF9AE}" pid="4" name="commondata">
    <vt:lpwstr>eyJoZGlkIjoiMmMxNTEwOWU5YTZkMDZhMWY1NTNhYTIyOTc4YWEwYzAifQ==</vt:lpwstr>
  </property>
</Properties>
</file>