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b/>
          <w:sz w:val="72"/>
          <w:szCs w:val="72"/>
        </w:rPr>
      </w:pPr>
      <w:bookmarkStart w:id="0" w:name="_Toc144974478"/>
      <w:bookmarkStart w:id="1" w:name="_Toc152042286"/>
    </w:p>
    <w:p>
      <w:pPr>
        <w:jc w:val="center"/>
        <w:rPr>
          <w:rFonts w:hint="eastAsia" w:ascii="宋体" w:hAnsi="宋体"/>
          <w:b/>
          <w:sz w:val="72"/>
          <w:szCs w:val="72"/>
        </w:rPr>
      </w:pPr>
    </w:p>
    <w:p>
      <w:pPr>
        <w:jc w:val="center"/>
        <w:rPr>
          <w:rFonts w:hint="eastAsia" w:ascii="宋体" w:hAnsi="宋体"/>
          <w:b/>
          <w:sz w:val="72"/>
          <w:szCs w:val="72"/>
        </w:rPr>
      </w:pPr>
    </w:p>
    <w:p>
      <w:pPr>
        <w:jc w:val="center"/>
        <w:rPr>
          <w:rFonts w:hint="eastAsia" w:ascii="宋体" w:hAnsi="宋体"/>
          <w:b/>
          <w:sz w:val="72"/>
          <w:szCs w:val="72"/>
        </w:rPr>
      </w:pPr>
      <w:r>
        <w:rPr>
          <w:rFonts w:hint="eastAsia" w:ascii="宋体" w:hAnsi="宋体"/>
          <w:b/>
          <w:sz w:val="72"/>
          <w:szCs w:val="72"/>
        </w:rPr>
        <w:t>招  标  文  件</w:t>
      </w:r>
    </w:p>
    <w:p>
      <w:pPr>
        <w:jc w:val="center"/>
        <w:rPr>
          <w:rFonts w:hint="eastAsia" w:ascii="宋体" w:hAnsi="宋体"/>
          <w:b/>
          <w:sz w:val="32"/>
          <w:szCs w:val="32"/>
        </w:rPr>
      </w:pPr>
    </w:p>
    <w:p>
      <w:pPr>
        <w:jc w:val="center"/>
        <w:rPr>
          <w:rFonts w:hint="eastAsia" w:ascii="宋体" w:hAnsi="宋体"/>
          <w:b/>
          <w:sz w:val="32"/>
          <w:szCs w:val="32"/>
        </w:rPr>
      </w:pP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321" w:firstLineChars="100"/>
        <w:jc w:val="both"/>
        <w:textAlignment w:val="auto"/>
        <w:rPr>
          <w:rFonts w:hint="eastAsia" w:ascii="宋体" w:hAnsi="宋体"/>
          <w:b/>
          <w:sz w:val="32"/>
        </w:rPr>
      </w:pPr>
      <w:r>
        <w:rPr>
          <w:rFonts w:hint="eastAsia" w:ascii="宋体" w:hAnsi="宋体"/>
          <w:b/>
          <w:sz w:val="32"/>
        </w:rPr>
        <w:t>招标编号：WKZB-2025-008</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321" w:firstLineChars="100"/>
        <w:jc w:val="both"/>
        <w:textAlignment w:val="auto"/>
        <w:rPr>
          <w:rFonts w:hint="eastAsia" w:ascii="宋体" w:hAnsi="宋体"/>
          <w:b/>
          <w:sz w:val="32"/>
        </w:rPr>
      </w:pPr>
      <w:r>
        <w:rPr>
          <w:rFonts w:hint="eastAsia" w:ascii="宋体" w:hAnsi="宋体"/>
          <w:b/>
          <w:sz w:val="32"/>
        </w:rPr>
        <w:t>项目名称：第三方检测</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321" w:firstLineChars="100"/>
        <w:jc w:val="both"/>
        <w:textAlignment w:val="auto"/>
        <w:rPr>
          <w:rFonts w:hint="eastAsia"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both"/>
        <w:rPr>
          <w:rFonts w:hint="eastAsia" w:ascii="宋体" w:hAnsi="宋体"/>
          <w:b/>
          <w:sz w:val="32"/>
        </w:rPr>
      </w:pPr>
    </w:p>
    <w:p>
      <w:pPr>
        <w:pStyle w:val="13"/>
        <w:spacing w:line="360" w:lineRule="auto"/>
        <w:ind w:firstLine="0" w:firstLineChars="0"/>
        <w:jc w:val="center"/>
        <w:rPr>
          <w:rFonts w:hint="eastAsia" w:ascii="宋体" w:hAnsi="宋体"/>
          <w:b/>
          <w:sz w:val="32"/>
        </w:rPr>
      </w:pPr>
      <w:bookmarkStart w:id="544" w:name="_GoBack"/>
      <w:bookmarkEnd w:id="544"/>
    </w:p>
    <w:p>
      <w:pPr>
        <w:pStyle w:val="13"/>
        <w:spacing w:line="360" w:lineRule="auto"/>
        <w:ind w:firstLine="0" w:firstLineChars="0"/>
        <w:jc w:val="center"/>
        <w:rPr>
          <w:rFonts w:hint="eastAsia" w:ascii="宋体" w:hAnsi="宋体"/>
          <w:b/>
          <w:sz w:val="32"/>
        </w:rPr>
      </w:pPr>
    </w:p>
    <w:p>
      <w:pPr>
        <w:pStyle w:val="13"/>
        <w:spacing w:line="360" w:lineRule="auto"/>
        <w:ind w:firstLine="0" w:firstLineChars="0"/>
        <w:rPr>
          <w:rFonts w:hint="eastAsia" w:ascii="宋体" w:hAnsi="宋体"/>
          <w:b/>
          <w:sz w:val="32"/>
        </w:rPr>
      </w:pPr>
    </w:p>
    <w:p>
      <w:pPr>
        <w:pStyle w:val="13"/>
        <w:tabs>
          <w:tab w:val="left" w:pos="5040"/>
        </w:tabs>
        <w:spacing w:line="360" w:lineRule="auto"/>
        <w:ind w:firstLine="0" w:firstLineChars="0"/>
        <w:jc w:val="center"/>
        <w:rPr>
          <w:rFonts w:hint="eastAsia" w:hAnsi="宋体"/>
          <w:b/>
          <w:sz w:val="32"/>
          <w:szCs w:val="32"/>
        </w:rPr>
      </w:pPr>
      <w:r>
        <w:rPr>
          <w:rFonts w:hint="eastAsia" w:hAnsi="宋体"/>
          <w:b/>
          <w:sz w:val="32"/>
          <w:szCs w:val="32"/>
        </w:rPr>
        <w:t>二○二五年</w:t>
      </w:r>
      <w:r>
        <w:rPr>
          <w:rFonts w:hint="eastAsia" w:hAnsi="宋体"/>
          <w:b/>
          <w:sz w:val="32"/>
          <w:szCs w:val="32"/>
          <w:lang w:val="en-US" w:eastAsia="zh-CN"/>
        </w:rPr>
        <w:t>五</w:t>
      </w:r>
      <w:r>
        <w:rPr>
          <w:rFonts w:hAnsi="宋体"/>
          <w:b/>
          <w:sz w:val="32"/>
          <w:szCs w:val="32"/>
        </w:rPr>
        <w:t>月</w:t>
      </w:r>
      <w:bookmarkEnd w:id="0"/>
      <w:bookmarkEnd w:id="1"/>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sectPr>
          <w:headerReference r:id="rId6" w:type="first"/>
          <w:footerReference r:id="rId8" w:type="first"/>
          <w:headerReference r:id="rId5" w:type="default"/>
          <w:footerReference r:id="rId7"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hint="eastAsia" w:ascii="宋体" w:hAnsi="宋体"/>
          <w:b/>
          <w:bCs/>
          <w:szCs w:val="21"/>
        </w:rPr>
      </w:pPr>
      <w:bookmarkStart w:id="3" w:name="_Toc10205"/>
      <w:bookmarkStart w:id="4" w:name="_Toc29240254"/>
      <w:bookmarkStart w:id="5" w:name="_Toc77628938"/>
      <w:bookmarkStart w:id="6" w:name="_Toc77628604"/>
      <w:bookmarkStart w:id="7" w:name="_Toc77629018"/>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fldChar w:fldCharType="begin"/>
      </w:r>
      <w:r>
        <w:instrText xml:space="preserve"> HYPERLINK \l "_Toc10205" </w:instrText>
      </w:r>
      <w:r>
        <w:fldChar w:fldCharType="separate"/>
      </w:r>
      <w:r>
        <w:rPr>
          <w:rFonts w:hint="eastAsia" w:ascii="宋体" w:hAnsi="宋体"/>
        </w:rPr>
        <w:t>目录</w:t>
      </w:r>
      <w:r>
        <w:tab/>
      </w:r>
      <w:r>
        <w:fldChar w:fldCharType="begin"/>
      </w:r>
      <w:r>
        <w:instrText xml:space="preserve"> PAGEREF _Toc10205 \h </w:instrText>
      </w:r>
      <w:r>
        <w:fldChar w:fldCharType="separate"/>
      </w:r>
      <w:r>
        <w:t>1</w:t>
      </w:r>
      <w:r>
        <w:fldChar w:fldCharType="end"/>
      </w:r>
      <w:r>
        <w:fldChar w:fldCharType="end"/>
      </w:r>
    </w:p>
    <w:p>
      <w:pPr>
        <w:pStyle w:val="27"/>
        <w:tabs>
          <w:tab w:val="right" w:leader="dot" w:pos="9462"/>
        </w:tabs>
      </w:pPr>
      <w:r>
        <w:fldChar w:fldCharType="begin"/>
      </w:r>
      <w:r>
        <w:instrText xml:space="preserve"> HYPERLINK \l "_Toc12485" </w:instrText>
      </w:r>
      <w:r>
        <w:fldChar w:fldCharType="separate"/>
      </w:r>
      <w:r>
        <w:rPr>
          <w:rFonts w:hint="eastAsia" w:ascii="宋体" w:hAnsi="宋体"/>
        </w:rPr>
        <w:t>第一章 招标公告</w:t>
      </w:r>
      <w:r>
        <w:tab/>
      </w:r>
      <w:r>
        <w:fldChar w:fldCharType="begin"/>
      </w:r>
      <w:r>
        <w:instrText xml:space="preserve"> PAGEREF _Toc12485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"_Toc24914" </w:instrText>
      </w:r>
      <w: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"_Toc24906" </w:instrText>
      </w:r>
      <w: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"_Toc4665" </w:instrText>
      </w:r>
      <w: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"_Toc31703" </w:instrText>
      </w:r>
      <w:r>
        <w:fldChar w:fldCharType="separate"/>
      </w:r>
      <w:r>
        <w:rPr>
          <w:rFonts w:hint="eastAsia" w:ascii="宋体" w:hAnsi="宋体" w:cs="宋体"/>
          <w:bCs/>
          <w:szCs w:val="21"/>
          <w:lang w:val="zh-CN" w:bidi="zh-CN"/>
        </w:rPr>
        <w:t>四、招标文件的获取</w:t>
      </w:r>
      <w:r>
        <w:tab/>
      </w:r>
      <w:r>
        <w:fldChar w:fldCharType="begin"/>
      </w:r>
      <w:r>
        <w:instrText xml:space="preserve"> PAGEREF _Toc31703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"_Toc23789" </w:instrText>
      </w:r>
      <w:r>
        <w:fldChar w:fldCharType="separate"/>
      </w:r>
      <w:r>
        <w:rPr>
          <w:rFonts w:hint="eastAsia" w:ascii="宋体" w:hAnsi="宋体" w:cs="宋体"/>
          <w:bCs/>
          <w:szCs w:val="21"/>
          <w:lang w:val="zh-CN" w:bidi="zh-CN"/>
        </w:rPr>
        <w:t>六、开标时间及地点</w:t>
      </w:r>
      <w:r>
        <w:tab/>
      </w:r>
      <w:r>
        <w:fldChar w:fldCharType="begin"/>
      </w:r>
      <w:r>
        <w:instrText xml:space="preserve"> PAGEREF _Toc23789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"_Toc26190" </w:instrText>
      </w:r>
      <w:r>
        <w:fldChar w:fldCharType="separate"/>
      </w:r>
      <w:r>
        <w:rPr>
          <w:rFonts w:hint="eastAsia" w:ascii="宋体" w:hAnsi="宋体" w:cs="宋体"/>
          <w:bCs/>
          <w:szCs w:val="21"/>
          <w:lang w:val="zh-CN" w:bidi="zh-CN"/>
        </w:rPr>
        <w:t>七、其他</w:t>
      </w:r>
      <w:r>
        <w:tab/>
      </w:r>
      <w:r>
        <w:fldChar w:fldCharType="begin"/>
      </w:r>
      <w:r>
        <w:instrText xml:space="preserve"> PAGEREF _Toc26190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"_Toc28912" </w:instrText>
      </w:r>
      <w:r>
        <w:fldChar w:fldCharType="separate"/>
      </w:r>
      <w:r>
        <w:rPr>
          <w:rFonts w:hint="eastAsia" w:ascii="宋体" w:hAnsi="宋体" w:cs="宋体"/>
          <w:bCs/>
          <w:szCs w:val="21"/>
          <w:lang w:val="zh-CN" w:bidi="zh-CN"/>
        </w:rPr>
        <w:t>八、监督部门</w:t>
      </w:r>
      <w:r>
        <w:tab/>
      </w:r>
      <w:r>
        <w:fldChar w:fldCharType="begin"/>
      </w:r>
      <w:r>
        <w:instrText xml:space="preserve"> PAGEREF _Toc28912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"_Toc5800" </w:instrText>
      </w:r>
      <w:r>
        <w:fldChar w:fldCharType="separate"/>
      </w:r>
      <w:r>
        <w:rPr>
          <w:rFonts w:hint="eastAsia" w:ascii="宋体" w:hAnsi="宋体" w:cs="宋体"/>
          <w:bCs/>
          <w:szCs w:val="21"/>
          <w:lang w:val="zh-CN" w:bidi="zh-CN"/>
        </w:rPr>
        <w:t>九、联系方式</w:t>
      </w:r>
      <w:r>
        <w:tab/>
      </w:r>
      <w:r>
        <w:fldChar w:fldCharType="begin"/>
      </w:r>
      <w:r>
        <w:instrText xml:space="preserve"> PAGEREF _Toc5800 \h </w:instrText>
      </w:r>
      <w:r>
        <w:fldChar w:fldCharType="separate"/>
      </w:r>
      <w:r>
        <w:t>4</w:t>
      </w:r>
      <w:r>
        <w:fldChar w:fldCharType="end"/>
      </w:r>
      <w:r>
        <w:fldChar w:fldCharType="end"/>
      </w:r>
    </w:p>
    <w:p>
      <w:pPr>
        <w:pStyle w:val="27"/>
        <w:tabs>
          <w:tab w:val="right" w:leader="dot" w:pos="9462"/>
        </w:tabs>
      </w:pPr>
      <w:r>
        <w:fldChar w:fldCharType="begin"/>
      </w:r>
      <w:r>
        <w:instrText xml:space="preserve"> HYPERLINK \l "_Toc26325" </w:instrText>
      </w:r>
      <w:r>
        <w:fldChar w:fldCharType="separate"/>
      </w:r>
      <w:r>
        <w:rPr>
          <w:rFonts w:hint="eastAsia" w:ascii="宋体" w:hAnsi="宋体"/>
        </w:rPr>
        <w:t>第二章 投标人须知</w:t>
      </w:r>
      <w:r>
        <w:tab/>
      </w:r>
      <w:r>
        <w:fldChar w:fldCharType="begin"/>
      </w:r>
      <w:r>
        <w:instrText xml:space="preserve"> PAGEREF _Toc26325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"_Toc15300" </w:instrText>
      </w:r>
      <w: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"_Toc4167" </w:instrText>
      </w:r>
      <w: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fldChar w:fldCharType="end"/>
      </w:r>
    </w:p>
    <w:p>
      <w:pPr>
        <w:pStyle w:val="32"/>
        <w:tabs>
          <w:tab w:val="right" w:leader="dot" w:pos="9462"/>
        </w:tabs>
      </w:pPr>
      <w:r>
        <w:fldChar w:fldCharType="begin"/>
      </w:r>
      <w:r>
        <w:instrText xml:space="preserve"> HYPERLINK \l "_Toc28093" </w:instrText>
      </w:r>
      <w: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"_Toc1422" </w:instrText>
      </w:r>
      <w: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"_Toc10734" </w:instrText>
      </w:r>
      <w: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fldChar w:fldCharType="end"/>
      </w:r>
    </w:p>
    <w:p>
      <w:pPr>
        <w:pStyle w:val="32"/>
        <w:tabs>
          <w:tab w:val="right" w:leader="dot" w:pos="9462"/>
        </w:tabs>
      </w:pPr>
      <w:r>
        <w:fldChar w:fldCharType="begin"/>
      </w:r>
      <w:r>
        <w:instrText xml:space="preserve"> HYPERLINK \l "_Toc17414" </w:instrText>
      </w:r>
      <w: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fldChar w:fldCharType="end"/>
      </w:r>
    </w:p>
    <w:p>
      <w:pPr>
        <w:pStyle w:val="32"/>
        <w:tabs>
          <w:tab w:val="right" w:leader="dot" w:pos="9462"/>
        </w:tabs>
      </w:pPr>
      <w:r>
        <w:fldChar w:fldCharType="begin"/>
      </w:r>
      <w:r>
        <w:instrText xml:space="preserve"> HYPERLINK \l "_Toc16391" </w:instrText>
      </w:r>
      <w: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fldChar w:fldCharType="end"/>
      </w:r>
    </w:p>
    <w:p>
      <w:pPr>
        <w:pStyle w:val="27"/>
        <w:tabs>
          <w:tab w:val="right" w:leader="dot" w:pos="9462"/>
        </w:tabs>
      </w:pPr>
      <w:r>
        <w:fldChar w:fldCharType="begin"/>
      </w:r>
      <w:r>
        <w:instrText xml:space="preserve"> HYPERLINK \l "_Toc3414" </w:instrText>
      </w:r>
      <w:r>
        <w:fldChar w:fldCharType="separate"/>
      </w:r>
      <w:r>
        <w:rPr>
          <w:rFonts w:hint="eastAsia" w:ascii="宋体" w:hAnsi="宋体"/>
        </w:rPr>
        <w:t>第三章 合同条款</w:t>
      </w:r>
      <w:r>
        <w:tab/>
      </w:r>
      <w:r>
        <w:fldChar w:fldCharType="begin"/>
      </w:r>
      <w:r>
        <w:instrText xml:space="preserve"> PAGEREF _Toc3414 \h </w:instrText>
      </w:r>
      <w:r>
        <w:fldChar w:fldCharType="separate"/>
      </w:r>
      <w:r>
        <w:t>16</w:t>
      </w:r>
      <w:r>
        <w:fldChar w:fldCharType="end"/>
      </w:r>
      <w:r>
        <w:fldChar w:fldCharType="end"/>
      </w:r>
    </w:p>
    <w:p>
      <w:pPr>
        <w:pStyle w:val="27"/>
        <w:tabs>
          <w:tab w:val="right" w:leader="dot" w:pos="9462"/>
        </w:tabs>
      </w:pPr>
      <w:r>
        <w:fldChar w:fldCharType="begin"/>
      </w:r>
      <w:r>
        <w:instrText xml:space="preserve"> HYPERLINK \l "_Toc16612" </w:instrText>
      </w:r>
      <w:r>
        <w:fldChar w:fldCharType="separate"/>
      </w:r>
      <w:r>
        <w:rPr>
          <w:rFonts w:hint="eastAsia" w:ascii="宋体" w:hAnsi="宋体"/>
        </w:rPr>
        <w:t>第四章 投标文件格式</w:t>
      </w:r>
      <w:r>
        <w:tab/>
      </w:r>
      <w:r>
        <w:fldChar w:fldCharType="begin"/>
      </w:r>
      <w:r>
        <w:instrText xml:space="preserve"> PAGEREF _Toc16612 \h </w:instrText>
      </w:r>
      <w:r>
        <w:fldChar w:fldCharType="separate"/>
      </w:r>
      <w:r>
        <w:t>19</w:t>
      </w:r>
      <w:r>
        <w:fldChar w:fldCharType="end"/>
      </w:r>
      <w:r>
        <w:fldChar w:fldCharType="end"/>
      </w:r>
    </w:p>
    <w:p>
      <w:pPr>
        <w:pStyle w:val="32"/>
        <w:tabs>
          <w:tab w:val="right" w:leader="dot" w:pos="9462"/>
        </w:tabs>
      </w:pPr>
      <w:r>
        <w:fldChar w:fldCharType="begin"/>
      </w:r>
      <w:r>
        <w:instrText xml:space="preserve"> HYPERLINK \l "_Toc30068" </w:instrText>
      </w:r>
      <w: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fldChar w:fldCharType="end"/>
      </w:r>
    </w:p>
    <w:p>
      <w:pPr>
        <w:pStyle w:val="32"/>
        <w:tabs>
          <w:tab w:val="right" w:leader="dot" w:pos="9462"/>
        </w:tabs>
      </w:pPr>
      <w:r>
        <w:fldChar w:fldCharType="begin"/>
      </w:r>
      <w:r>
        <w:instrText xml:space="preserve"> HYPERLINK \l "_Toc17672" </w:instrText>
      </w:r>
      <w: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fldChar w:fldCharType="end"/>
      </w:r>
    </w:p>
    <w:p>
      <w:pPr>
        <w:pStyle w:val="32"/>
        <w:tabs>
          <w:tab w:val="right" w:leader="dot" w:pos="9462"/>
        </w:tabs>
      </w:pPr>
      <w:r>
        <w:fldChar w:fldCharType="begin"/>
      </w:r>
      <w:r>
        <w:instrText xml:space="preserve"> HYPERLINK \l "_Toc15798" </w:instrText>
      </w:r>
      <w: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fldChar w:fldCharType="end"/>
      </w:r>
    </w:p>
    <w:p>
      <w:pPr>
        <w:pStyle w:val="32"/>
        <w:tabs>
          <w:tab w:val="right" w:leader="dot" w:pos="9462"/>
        </w:tabs>
      </w:pPr>
      <w:r>
        <w:fldChar w:fldCharType="begin"/>
      </w:r>
      <w:r>
        <w:instrText xml:space="preserve"> HYPERLINK \l "_Toc20445" </w:instrText>
      </w:r>
      <w: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fldChar w:fldCharType="end"/>
      </w:r>
    </w:p>
    <w:p>
      <w:pPr>
        <w:pStyle w:val="32"/>
        <w:tabs>
          <w:tab w:val="right" w:leader="dot" w:pos="9462"/>
        </w:tabs>
      </w:pPr>
      <w:r>
        <w:fldChar w:fldCharType="begin"/>
      </w:r>
      <w:r>
        <w:instrText xml:space="preserve"> HYPERLINK \l "_Toc19842" </w:instrText>
      </w:r>
      <w:r>
        <w:fldChar w:fldCharType="separate"/>
      </w:r>
      <w:r>
        <w:rPr>
          <w:rFonts w:hint="eastAsia" w:ascii="宋体" w:hAnsi="宋体" w:eastAsia="宋体"/>
          <w:szCs w:val="21"/>
        </w:rPr>
        <w:t>附件5 技术规格偏离表</w:t>
      </w:r>
      <w:r>
        <w:tab/>
      </w:r>
      <w:r>
        <w:fldChar w:fldCharType="begin"/>
      </w:r>
      <w:r>
        <w:instrText xml:space="preserve"> PAGEREF _Toc19842 \h </w:instrText>
      </w:r>
      <w:r>
        <w:fldChar w:fldCharType="separate"/>
      </w:r>
      <w:r>
        <w:t>26</w:t>
      </w:r>
      <w:r>
        <w:fldChar w:fldCharType="end"/>
      </w:r>
      <w:r>
        <w:fldChar w:fldCharType="end"/>
      </w:r>
    </w:p>
    <w:p>
      <w:pPr>
        <w:pStyle w:val="32"/>
        <w:tabs>
          <w:tab w:val="right" w:leader="dot" w:pos="9462"/>
        </w:tabs>
      </w:pPr>
      <w:r>
        <w:fldChar w:fldCharType="begin"/>
      </w:r>
      <w:r>
        <w:instrText xml:space="preserve"> HYPERLINK \l "_Toc32311" </w:instrText>
      </w:r>
      <w:r>
        <w:fldChar w:fldCharType="separate"/>
      </w:r>
      <w:r>
        <w:rPr>
          <w:rFonts w:hint="eastAsia" w:ascii="宋体" w:hAnsi="宋体" w:eastAsia="宋体"/>
          <w:szCs w:val="21"/>
        </w:rPr>
        <w:t>附件6 资格证明文件</w:t>
      </w:r>
      <w:r>
        <w:tab/>
      </w:r>
      <w:r>
        <w:fldChar w:fldCharType="begin"/>
      </w:r>
      <w:r>
        <w:instrText xml:space="preserve"> PAGEREF _Toc32311 \h </w:instrText>
      </w:r>
      <w:r>
        <w:fldChar w:fldCharType="separate"/>
      </w:r>
      <w:r>
        <w:t>28</w:t>
      </w:r>
      <w:r>
        <w:fldChar w:fldCharType="end"/>
      </w:r>
      <w:r>
        <w:fldChar w:fldCharType="end"/>
      </w:r>
    </w:p>
    <w:p>
      <w:pPr>
        <w:pStyle w:val="32"/>
        <w:tabs>
          <w:tab w:val="right" w:leader="dot" w:pos="9462"/>
        </w:tabs>
      </w:pPr>
      <w:r>
        <w:fldChar w:fldCharType="begin"/>
      </w:r>
      <w:r>
        <w:instrText xml:space="preserve"> HYPERLINK \l "_Toc23896" </w:instrText>
      </w:r>
      <w: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fldChar w:fldCharType="end"/>
      </w:r>
    </w:p>
    <w:p>
      <w:pPr>
        <w:pStyle w:val="32"/>
        <w:tabs>
          <w:tab w:val="right" w:leader="dot" w:pos="9462"/>
        </w:tabs>
      </w:pPr>
      <w:r>
        <w:fldChar w:fldCharType="begin"/>
      </w:r>
      <w:r>
        <w:instrText xml:space="preserve"> HYPERLINK \l "_Toc25002" </w:instrText>
      </w:r>
      <w:r>
        <w:fldChar w:fldCharType="separate"/>
      </w:r>
      <w:r>
        <w:rPr>
          <w:rFonts w:hint="eastAsia" w:ascii="宋体" w:hAnsi="宋体" w:eastAsia="宋体"/>
          <w:szCs w:val="21"/>
        </w:rPr>
        <w:t>附件7 反商业贿赂承诺书</w:t>
      </w:r>
      <w:r>
        <w:tab/>
      </w:r>
      <w:r>
        <w:fldChar w:fldCharType="begin"/>
      </w:r>
      <w:r>
        <w:instrText xml:space="preserve"> PAGEREF _Toc25002 \h </w:instrText>
      </w:r>
      <w:r>
        <w:fldChar w:fldCharType="separate"/>
      </w:r>
      <w:r>
        <w:t>37</w:t>
      </w:r>
      <w:r>
        <w:fldChar w:fldCharType="end"/>
      </w:r>
      <w:r>
        <w:fldChar w:fldCharType="end"/>
      </w:r>
    </w:p>
    <w:p>
      <w:pPr>
        <w:pStyle w:val="32"/>
        <w:tabs>
          <w:tab w:val="right" w:leader="dot" w:pos="9462"/>
        </w:tabs>
      </w:pPr>
      <w:r>
        <w:fldChar w:fldCharType="begin"/>
      </w:r>
      <w:r>
        <w:instrText xml:space="preserve"> HYPERLINK \l "_Toc20295" </w:instrText>
      </w:r>
      <w:r>
        <w:fldChar w:fldCharType="separate"/>
      </w:r>
      <w:r>
        <w:rPr>
          <w:rFonts w:hint="eastAsia" w:ascii="宋体" w:hAnsi="宋体" w:eastAsia="宋体"/>
          <w:szCs w:val="21"/>
        </w:rPr>
        <w:t>附件8 投标人控股及管理关系情况表</w:t>
      </w:r>
      <w:r>
        <w:tab/>
      </w:r>
      <w:r>
        <w:fldChar w:fldCharType="begin"/>
      </w:r>
      <w:r>
        <w:instrText xml:space="preserve"> PAGEREF _Toc20295 \h </w:instrText>
      </w:r>
      <w:r>
        <w:fldChar w:fldCharType="separate"/>
      </w:r>
      <w:r>
        <w:t>38</w:t>
      </w:r>
      <w:r>
        <w:fldChar w:fldCharType="end"/>
      </w:r>
      <w:r>
        <w:fldChar w:fldCharType="end"/>
      </w:r>
    </w:p>
    <w:p>
      <w:pPr>
        <w:pStyle w:val="32"/>
        <w:tabs>
          <w:tab w:val="right" w:leader="dot" w:pos="9462"/>
        </w:tabs>
      </w:pPr>
      <w:r>
        <w:fldChar w:fldCharType="begin"/>
      </w:r>
      <w:r>
        <w:instrText xml:space="preserve"> HYPERLINK \l "_Toc14246" </w:instrText>
      </w:r>
      <w:r>
        <w:fldChar w:fldCharType="separate"/>
      </w:r>
      <w:r>
        <w:rPr>
          <w:rFonts w:hint="eastAsia" w:ascii="宋体" w:hAnsi="宋体" w:eastAsia="宋体"/>
          <w:szCs w:val="21"/>
        </w:rPr>
        <w:t>附件9 详细的实施方案</w:t>
      </w:r>
      <w:r>
        <w:tab/>
      </w:r>
      <w:r>
        <w:fldChar w:fldCharType="begin"/>
      </w:r>
      <w:r>
        <w:instrText xml:space="preserve"> PAGEREF _Toc14246 \h </w:instrText>
      </w:r>
      <w:r>
        <w:fldChar w:fldCharType="separate"/>
      </w:r>
      <w:r>
        <w:t>39</w:t>
      </w:r>
      <w:r>
        <w:fldChar w:fldCharType="end"/>
      </w:r>
      <w:r>
        <w:fldChar w:fldCharType="end"/>
      </w:r>
    </w:p>
    <w:p>
      <w:pPr>
        <w:pStyle w:val="32"/>
        <w:tabs>
          <w:tab w:val="right" w:leader="dot" w:pos="9462"/>
        </w:tabs>
      </w:pPr>
      <w:r>
        <w:fldChar w:fldCharType="begin"/>
      </w:r>
      <w:r>
        <w:instrText xml:space="preserve"> HYPERLINK \l "_Toc18456" </w:instrText>
      </w:r>
      <w:r>
        <w:fldChar w:fldCharType="separate"/>
      </w:r>
      <w:r>
        <w:rPr>
          <w:rFonts w:hint="eastAsia" w:ascii="宋体" w:hAnsi="宋体" w:eastAsia="宋体"/>
          <w:szCs w:val="21"/>
        </w:rPr>
        <w:t>附件10 售后服务方案及承诺</w:t>
      </w:r>
      <w:r>
        <w:tab/>
      </w:r>
      <w:r>
        <w:fldChar w:fldCharType="begin"/>
      </w:r>
      <w:r>
        <w:instrText xml:space="preserve"> PAGEREF _Toc18456 \h </w:instrText>
      </w:r>
      <w:r>
        <w:fldChar w:fldCharType="separate"/>
      </w:r>
      <w:r>
        <w:t>40</w:t>
      </w:r>
      <w:r>
        <w:fldChar w:fldCharType="end"/>
      </w:r>
      <w:r>
        <w:fldChar w:fldCharType="end"/>
      </w:r>
    </w:p>
    <w:p>
      <w:pPr>
        <w:pStyle w:val="32"/>
        <w:tabs>
          <w:tab w:val="right" w:leader="dot" w:pos="9462"/>
        </w:tabs>
      </w:pPr>
      <w:r>
        <w:fldChar w:fldCharType="begin"/>
      </w:r>
      <w:r>
        <w:instrText xml:space="preserve"> HYPERLINK \l "_Toc25219" </w:instrText>
      </w:r>
      <w:r>
        <w:fldChar w:fldCharType="separate"/>
      </w:r>
      <w:r>
        <w:rPr>
          <w:rFonts w:hint="eastAsia" w:ascii="宋体" w:hAnsi="宋体"/>
          <w:bCs/>
          <w:szCs w:val="21"/>
        </w:rPr>
        <w:t>附件11 投标人认为需要提供的其它材料</w:t>
      </w:r>
      <w:r>
        <w:tab/>
      </w:r>
      <w:r>
        <w:fldChar w:fldCharType="begin"/>
      </w:r>
      <w:r>
        <w:instrText xml:space="preserve"> PAGEREF _Toc25219 \h </w:instrText>
      </w:r>
      <w:r>
        <w:fldChar w:fldCharType="separate"/>
      </w:r>
      <w:r>
        <w:t>41</w:t>
      </w:r>
      <w:r>
        <w:fldChar w:fldCharType="end"/>
      </w:r>
      <w:r>
        <w:fldChar w:fldCharType="end"/>
      </w:r>
    </w:p>
    <w:p>
      <w:pPr>
        <w:pStyle w:val="27"/>
        <w:tabs>
          <w:tab w:val="right" w:leader="dot" w:pos="9462"/>
        </w:tabs>
      </w:pPr>
      <w:r>
        <w:fldChar w:fldCharType="begin"/>
      </w:r>
      <w:r>
        <w:instrText xml:space="preserve"> HYPERLINK \l "_Toc30380" </w:instrText>
      </w:r>
      <w:r>
        <w:fldChar w:fldCharType="separate"/>
      </w:r>
      <w:r>
        <w:rPr>
          <w:rFonts w:hint="eastAsia" w:ascii="宋体" w:hAnsi="宋体"/>
        </w:rPr>
        <w:t>第五章 评标方法和标准</w:t>
      </w:r>
      <w:r>
        <w:tab/>
      </w:r>
      <w:r>
        <w:fldChar w:fldCharType="begin"/>
      </w:r>
      <w:r>
        <w:instrText xml:space="preserve"> PAGEREF _Toc30380 \h </w:instrText>
      </w:r>
      <w:r>
        <w:fldChar w:fldCharType="separate"/>
      </w:r>
      <w:r>
        <w:t>42</w:t>
      </w:r>
      <w:r>
        <w:fldChar w:fldCharType="end"/>
      </w:r>
      <w:r>
        <w:fldChar w:fldCharType="end"/>
      </w:r>
    </w:p>
    <w:p>
      <w:pPr>
        <w:pStyle w:val="27"/>
        <w:tabs>
          <w:tab w:val="right" w:leader="dot" w:pos="9462"/>
        </w:tabs>
      </w:pPr>
      <w:r>
        <w:fldChar w:fldCharType="begin"/>
      </w:r>
      <w:r>
        <w:instrText xml:space="preserve"> HYPERLINK \l "_Toc31714" </w:instrText>
      </w:r>
      <w:r>
        <w:fldChar w:fldCharType="separate"/>
      </w:r>
      <w:r>
        <w:rPr>
          <w:rFonts w:hint="eastAsia" w:ascii="宋体" w:hAnsi="宋体"/>
        </w:rPr>
        <w:t>第六章 货物需求一览表及技术要求</w:t>
      </w:r>
      <w:r>
        <w:tab/>
      </w:r>
      <w:r>
        <w:fldChar w:fldCharType="begin"/>
      </w:r>
      <w:r>
        <w:instrText xml:space="preserve"> PAGEREF _Toc31714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"_Toc9053" </w:instrText>
      </w:r>
      <w: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"_Toc21254" </w:instrText>
      </w:r>
      <w: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fldChar w:fldCharType="end"/>
      </w:r>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szCs w:val="21"/>
          <w:lang w:val="zh-CN" w:bidi="zh-CN"/>
        </w:rPr>
      </w:pPr>
      <w:r>
        <w:rPr>
          <w:rFonts w:hint="eastAsia" w:ascii="宋体" w:hAnsi="宋体" w:cs="宋体"/>
          <w:szCs w:val="21"/>
          <w:lang w:bidi="zh-CN"/>
        </w:rPr>
        <w:t>第三方检测</w:t>
      </w:r>
      <w:r>
        <w:rPr>
          <w:rFonts w:hint="eastAsia" w:ascii="宋体" w:hAnsi="宋体" w:cs="宋体"/>
          <w:szCs w:val="21"/>
          <w:lang w:val="zh-CN" w:bidi="zh-CN"/>
        </w:rPr>
        <w:t>招标公告</w:t>
      </w:r>
    </w:p>
    <w:p>
      <w:pPr>
        <w:autoSpaceDE w:val="0"/>
        <w:autoSpaceDN w:val="0"/>
        <w:spacing w:line="360" w:lineRule="auto"/>
        <w:jc w:val="center"/>
        <w:rPr>
          <w:rFonts w:hint="eastAsia" w:ascii="宋体" w:hAnsi="宋体" w:cs="宋体"/>
          <w:szCs w:val="21"/>
          <w:lang w:val="zh-CN" w:bidi="zh-CN"/>
        </w:rPr>
      </w:pPr>
      <w:r>
        <w:rPr>
          <w:rFonts w:hint="eastAsia" w:ascii="宋体" w:hAnsi="宋体" w:cs="宋体"/>
          <w:szCs w:val="21"/>
        </w:rPr>
        <w:t>（招标编号：WKZB-2025-008）</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hint="eastAsia"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bidi="zh-CN"/>
        </w:rPr>
        <w:t>第三方检测</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hint="eastAsia"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hint="eastAsia"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lang w:bidi="zh-CN"/>
        </w:rPr>
        <w:t>第三方检测项目</w:t>
      </w:r>
      <w:r>
        <w:rPr>
          <w:rFonts w:hint="eastAsia" w:ascii="宋体" w:hAnsi="宋体" w:cs="宋体"/>
          <w:szCs w:val="21"/>
          <w:lang w:val="zh-CN" w:bidi="zh-CN"/>
        </w:rPr>
        <w:t xml:space="preserve">;  </w:t>
      </w:r>
    </w:p>
    <w:p>
      <w:pPr>
        <w:autoSpaceDE w:val="0"/>
        <w:autoSpaceDN w:val="0"/>
        <w:spacing w:line="360" w:lineRule="auto"/>
        <w:jc w:val="left"/>
        <w:outlineLvl w:val="1"/>
        <w:rPr>
          <w:rFonts w:hint="eastAsia"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bidi="zh-CN"/>
        </w:rPr>
        <w:t>第三方检测</w:t>
      </w:r>
      <w:r>
        <w:rPr>
          <w:rFonts w:hint="eastAsia" w:ascii="宋体" w:hAnsi="宋体" w:cs="宋体"/>
          <w:szCs w:val="21"/>
          <w:lang w:val="zh-CN" w:bidi="zh-CN"/>
        </w:rPr>
        <w:t>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在中国境内注册的法人或其他组织，遵守中国的法律、法规和条例</w:t>
      </w:r>
      <w:r>
        <w:rPr>
          <w:rFonts w:hint="eastAsia"/>
        </w:rPr>
        <w:t>；</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具有良好的财务状况(提供2024年度财务报表，含资产负债表、损益表（利润表）、现金流量表或投标截止日前三个月内基本开户行开具的资信证明)，有依法缴纳税收和社会保障资金的良好记录（提供投标截止日前6个月内任意1个月已缴凭证）；</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投标人应为拟投产品生产厂家或代理商，如果投标人是代理商，应提供所投产品生产厂家出具的合法且在有效期内的授权书；</w:t>
      </w:r>
    </w:p>
    <w:p>
      <w:pPr>
        <w:widowControl/>
        <w:numPr>
          <w:ilvl w:val="0"/>
          <w:numId w:val="4"/>
        </w:numPr>
        <w:spacing w:line="360" w:lineRule="auto"/>
        <w:ind w:firstLine="420" w:firstLineChars="200"/>
        <w:jc w:val="left"/>
        <w:rPr>
          <w:szCs w:val="21"/>
        </w:rPr>
      </w:pPr>
      <w:r>
        <w:rPr>
          <w:rFonts w:hint="eastAsia" w:ascii="宋体" w:hAnsi="宋体" w:cs="宋体"/>
          <w:bCs/>
          <w:szCs w:val="21"/>
        </w:rPr>
        <w:t>投标人法定代表人为同一个人的两个及两个以上法人，母公司与全资子公司/由其控股的子公司，不得同时参与本项目；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szCs w:val="21"/>
          <w:lang w:val="zh-CN"/>
        </w:rPr>
      </w:pPr>
      <w:r>
        <w:rPr>
          <w:rFonts w:hint="eastAsia" w:ascii="宋体" w:hAnsi="宋体" w:cs="宋体"/>
          <w:bCs/>
          <w:szCs w:val="21"/>
        </w:rPr>
        <w:t>本项目不接受联合体投标。</w:t>
      </w:r>
    </w:p>
    <w:p>
      <w:pPr>
        <w:autoSpaceDE w:val="0"/>
        <w:autoSpaceDN w:val="0"/>
        <w:spacing w:line="360" w:lineRule="auto"/>
        <w:jc w:val="left"/>
        <w:outlineLvl w:val="1"/>
        <w:rPr>
          <w:rFonts w:hint="eastAsia" w:ascii="宋体" w:hAnsi="宋体" w:cs="宋体"/>
          <w:b/>
          <w:bCs/>
          <w:szCs w:val="21"/>
          <w:lang w:val="zh-CN" w:bidi="zh-CN"/>
        </w:rPr>
      </w:pPr>
      <w:bookmarkStart w:id="12" w:name="_Toc31703"/>
      <w:bookmarkStart w:id="13" w:name="_Toc31840"/>
      <w:r>
        <w:rPr>
          <w:rFonts w:hint="eastAsia" w:ascii="宋体" w:hAnsi="宋体" w:cs="宋体"/>
          <w:b/>
          <w:bCs/>
          <w:szCs w:val="21"/>
          <w:lang w:val="zh-CN" w:bidi="zh-CN"/>
        </w:rPr>
        <w:t>四、招标文件的获取</w:t>
      </w:r>
      <w:bookmarkEnd w:id="12"/>
      <w:bookmarkEnd w:id="13"/>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获取时间：以招标公告时间为准</w:t>
      </w:r>
    </w:p>
    <w:p>
      <w:pPr>
        <w:widowControl/>
        <w:spacing w:line="360" w:lineRule="auto"/>
        <w:jc w:val="left"/>
        <w:rPr>
          <w:rFonts w:hint="eastAsia" w:ascii="宋体" w:hAnsi="宋体" w:cs="宋体"/>
          <w:szCs w:val="21"/>
        </w:rPr>
      </w:pPr>
      <w:r>
        <w:rPr>
          <w:rFonts w:hint="eastAsia" w:ascii="宋体" w:hAnsi="宋体" w:cs="宋体"/>
          <w:szCs w:val="21"/>
          <w:lang w:val="zh-CN" w:bidi="zh-CN"/>
        </w:rPr>
        <w:t>获取方式：</w:t>
      </w:r>
      <w:r>
        <w:rPr>
          <w:rFonts w:hint="eastAsia" w:ascii="宋体" w:hAnsi="宋体" w:cs="宋体"/>
          <w:szCs w:val="21"/>
          <w:lang w:bidi="zh-CN"/>
        </w:rPr>
        <w:t>线上获取</w:t>
      </w:r>
      <w:r>
        <w:rPr>
          <w:rFonts w:hint="eastAsia" w:ascii="宋体" w:hAnsi="宋体" w:cs="宋体"/>
          <w:kern w:val="0"/>
          <w:szCs w:val="21"/>
        </w:rPr>
        <w:t>。</w:t>
      </w:r>
    </w:p>
    <w:p>
      <w:pPr>
        <w:autoSpaceDE w:val="0"/>
        <w:autoSpaceDN w:val="0"/>
        <w:spacing w:line="360" w:lineRule="auto"/>
        <w:jc w:val="left"/>
        <w:rPr>
          <w:rFonts w:hint="eastAsia" w:ascii="宋体" w:hAnsi="宋体" w:cs="宋体"/>
          <w:b/>
          <w:bCs/>
          <w:szCs w:val="21"/>
          <w:lang w:val="zh-CN" w:bidi="zh-CN"/>
        </w:rPr>
      </w:pPr>
      <w:r>
        <w:rPr>
          <w:rFonts w:hint="eastAsia" w:ascii="宋体" w:hAnsi="宋体" w:cs="宋体"/>
          <w:b/>
          <w:bCs/>
          <w:szCs w:val="21"/>
          <w:lang w:val="zh-CN" w:bidi="zh-CN"/>
        </w:rPr>
        <w:t>五、投标文件的递交</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递交截止时间：以招标公告时间为准</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递交方式：</w:t>
      </w:r>
      <w:r>
        <w:rPr>
          <w:rFonts w:hint="eastAsia" w:ascii="宋体" w:hAnsi="宋体" w:cs="宋体"/>
          <w:szCs w:val="21"/>
          <w:lang w:bidi="zh-CN"/>
        </w:rPr>
        <w:t>电子投标文件通过国药集团扬州威克生物工程有限公司官网--招聘投标--招标信息（http://www.sinopharm-vacbio.com/）要求递交。</w:t>
      </w:r>
    </w:p>
    <w:p>
      <w:pPr>
        <w:autoSpaceDE w:val="0"/>
        <w:autoSpaceDN w:val="0"/>
        <w:spacing w:line="360" w:lineRule="auto"/>
        <w:jc w:val="left"/>
        <w:outlineLvl w:val="1"/>
        <w:rPr>
          <w:rFonts w:hint="eastAsia" w:ascii="宋体" w:hAnsi="宋体" w:cs="宋体"/>
          <w:b/>
          <w:bCs/>
          <w:szCs w:val="21"/>
          <w:lang w:val="zh-CN" w:bidi="zh-CN"/>
        </w:rPr>
      </w:pPr>
      <w:bookmarkStart w:id="14" w:name="_Toc23789"/>
      <w:bookmarkStart w:id="15" w:name="_Toc6081"/>
      <w:r>
        <w:rPr>
          <w:rFonts w:hint="eastAsia" w:ascii="宋体" w:hAnsi="宋体" w:cs="宋体"/>
          <w:b/>
          <w:bCs/>
          <w:szCs w:val="21"/>
          <w:lang w:val="zh-CN" w:bidi="zh-CN"/>
        </w:rPr>
        <w:t>六、开标时间及地点</w:t>
      </w:r>
      <w:bookmarkEnd w:id="14"/>
      <w:bookmarkEnd w:id="15"/>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开标时间：以</w:t>
      </w:r>
      <w:r>
        <w:rPr>
          <w:rFonts w:hint="eastAsia" w:ascii="宋体" w:hAnsi="宋体" w:cs="宋体"/>
          <w:szCs w:val="21"/>
          <w:lang w:bidi="zh-CN"/>
        </w:rPr>
        <w:t>具体通知</w:t>
      </w:r>
      <w:r>
        <w:rPr>
          <w:rFonts w:hint="eastAsia" w:ascii="宋体" w:hAnsi="宋体" w:cs="宋体"/>
          <w:szCs w:val="21"/>
          <w:lang w:val="zh-CN" w:bidi="zh-CN"/>
        </w:rPr>
        <w:t>时间为准</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开标地点：</w:t>
      </w:r>
      <w:r>
        <w:rPr>
          <w:rFonts w:hint="eastAsia" w:ascii="宋体" w:hAnsi="宋体" w:cs="宋体"/>
          <w:szCs w:val="21"/>
          <w:lang w:bidi="zh-CN"/>
        </w:rPr>
        <w:t>（1）</w:t>
      </w:r>
      <w:r>
        <w:rPr>
          <w:rFonts w:hint="eastAsia"/>
          <w:b/>
          <w:bCs/>
        </w:rPr>
        <w:t>扬州邗江工业园牧羊路15号，收件人：</w:t>
      </w:r>
      <w:r>
        <w:rPr>
          <w:rFonts w:hint="eastAsia"/>
          <w:b/>
          <w:bCs/>
          <w:lang w:val="en-US" w:eastAsia="zh-CN"/>
        </w:rPr>
        <w:t>陈娟</w:t>
      </w:r>
      <w:r>
        <w:rPr>
          <w:rFonts w:hint="eastAsia"/>
          <w:b/>
          <w:bCs/>
        </w:rPr>
        <w:t xml:space="preserve"> </w:t>
      </w:r>
      <w:r>
        <w:rPr>
          <w:b/>
          <w:bCs/>
        </w:rPr>
        <w:t xml:space="preserve"> 0514-85106680转8025</w:t>
      </w:r>
      <w:r>
        <w:rPr>
          <w:rFonts w:hint="eastAsia"/>
          <w:b/>
          <w:bCs/>
        </w:rPr>
        <w:t xml:space="preserve"> </w:t>
      </w:r>
      <w:r>
        <w:rPr>
          <w:rFonts w:hint="eastAsia" w:ascii="宋体" w:hAnsi="宋体" w:cs="宋体"/>
          <w:szCs w:val="21"/>
          <w:lang w:bidi="zh-CN"/>
        </w:rPr>
        <w:t>。</w:t>
      </w:r>
    </w:p>
    <w:p>
      <w:pPr>
        <w:autoSpaceDE w:val="0"/>
        <w:autoSpaceDN w:val="0"/>
        <w:spacing w:line="360" w:lineRule="auto"/>
        <w:jc w:val="left"/>
        <w:outlineLvl w:val="1"/>
        <w:rPr>
          <w:rFonts w:hint="eastAsia" w:ascii="宋体" w:hAnsi="宋体" w:cs="宋体"/>
          <w:b/>
          <w:bCs/>
          <w:szCs w:val="21"/>
          <w:lang w:val="zh-CN" w:bidi="zh-CN"/>
        </w:rPr>
      </w:pPr>
      <w:bookmarkStart w:id="16" w:name="_Toc26190"/>
      <w:bookmarkStart w:id="17" w:name="_Toc11141"/>
      <w:r>
        <w:rPr>
          <w:rFonts w:hint="eastAsia" w:ascii="宋体" w:hAnsi="宋体" w:cs="宋体"/>
          <w:b/>
          <w:bCs/>
          <w:szCs w:val="21"/>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采购需求：</w:t>
      </w:r>
      <w:r>
        <w:rPr>
          <w:rFonts w:hint="eastAsia" w:ascii="宋体" w:hAnsi="宋体" w:cs="宋体"/>
          <w:szCs w:val="21"/>
          <w:lang w:bidi="zh-CN"/>
        </w:rPr>
        <w:t>国药集团扬州威克生物工程有限公司拟通过竞争性磋商方式选择供应商供应</w:t>
      </w:r>
      <w:r>
        <w:rPr>
          <w:rFonts w:hint="eastAsia"/>
        </w:rPr>
        <w:t>分布式光伏发电服务</w:t>
      </w:r>
      <w:r>
        <w:rPr>
          <w:rFonts w:hint="eastAsia" w:ascii="宋体" w:hAnsi="宋体" w:cs="宋体"/>
          <w:szCs w:val="21"/>
          <w:lang w:bidi="zh-CN"/>
        </w:rPr>
        <w:t xml:space="preserve">，本项目为固定单价招标，以实际采购数量，据实结算。(技术要求详见第六章） </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交货期</w:t>
      </w:r>
      <w:r>
        <w:rPr>
          <w:rFonts w:hint="eastAsia" w:ascii="宋体" w:hAnsi="宋体" w:cs="宋体"/>
          <w:szCs w:val="21"/>
          <w:lang w:val="zh-CN" w:bidi="zh-CN"/>
        </w:rPr>
        <w:t>：根据</w:t>
      </w:r>
      <w:r>
        <w:rPr>
          <w:rFonts w:hint="eastAsia" w:ascii="宋体" w:hAnsi="宋体" w:cs="宋体"/>
          <w:szCs w:val="21"/>
          <w:lang w:bidi="zh-CN"/>
        </w:rPr>
        <w:t>招标人</w:t>
      </w:r>
      <w:r>
        <w:rPr>
          <w:rFonts w:hint="eastAsia" w:ascii="宋体" w:hAnsi="宋体" w:cs="宋体"/>
          <w:szCs w:val="21"/>
          <w:lang w:val="zh-CN" w:bidi="zh-CN"/>
        </w:rPr>
        <w:t>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供货期限：按合同签约定。</w:t>
      </w:r>
    </w:p>
    <w:p>
      <w:pPr>
        <w:pStyle w:val="80"/>
        <w:numPr>
          <w:ilvl w:val="0"/>
          <w:numId w:val="5"/>
        </w:numPr>
        <w:spacing w:after="0" w:afterLines="0"/>
        <w:ind w:firstLine="420"/>
        <w:rPr>
          <w:rFonts w:hint="eastAsia" w:ascii="宋体" w:hAnsi="宋体" w:eastAsia="宋体"/>
          <w:sz w:val="21"/>
          <w:szCs w:val="21"/>
          <w:lang w:val="en-US"/>
        </w:rPr>
      </w:pPr>
      <w:r>
        <w:rPr>
          <w:rFonts w:hint="eastAsia" w:ascii="宋体" w:hAnsi="宋体" w:eastAsia="宋体"/>
          <w:sz w:val="21"/>
          <w:szCs w:val="21"/>
          <w:lang w:val="en-US"/>
        </w:rPr>
        <w:t>交货地址：招标人指定交货地点。</w:t>
      </w:r>
    </w:p>
    <w:p>
      <w:pPr>
        <w:pStyle w:val="80"/>
        <w:numPr>
          <w:ilvl w:val="0"/>
          <w:numId w:val="5"/>
        </w:numPr>
        <w:spacing w:after="0" w:afterLines="0"/>
        <w:ind w:firstLine="420"/>
        <w:rPr>
          <w:sz w:val="21"/>
          <w:szCs w:val="21"/>
          <w:lang w:val="en-US"/>
        </w:rPr>
      </w:pPr>
      <w:r>
        <w:rPr>
          <w:rFonts w:hint="eastAsia" w:ascii="宋体" w:hAnsi="宋体" w:eastAsia="宋体"/>
          <w:sz w:val="21"/>
          <w:szCs w:val="21"/>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有意获取本项目招标文件的投标人</w:t>
      </w:r>
      <w:r>
        <w:rPr>
          <w:rFonts w:hint="eastAsia" w:ascii="宋体" w:hAnsi="宋体" w:cs="宋体"/>
          <w:szCs w:val="21"/>
          <w:lang w:bidi="zh-CN"/>
        </w:rPr>
        <w:t>，</w:t>
      </w:r>
      <w:r>
        <w:rPr>
          <w:rFonts w:hint="eastAsia" w:ascii="宋体" w:hAnsi="宋体" w:cs="宋体"/>
          <w:szCs w:val="21"/>
          <w:lang w:val="zh-CN" w:bidi="zh-CN"/>
        </w:rPr>
        <w:t>须在本公告规定时间内于</w:t>
      </w:r>
      <w:r>
        <w:rPr>
          <w:rFonts w:hint="eastAsia" w:ascii="宋体" w:hAnsi="宋体" w:cs="宋体"/>
          <w:szCs w:val="21"/>
          <w:lang w:bidi="zh-CN"/>
        </w:rPr>
        <w:t>国药集团扬州威克生物工程有限公司官网--招聘投标--招标信息（http://www.sinopharm-vacbio.com/）报名并获取</w:t>
      </w:r>
      <w:r>
        <w:rPr>
          <w:rFonts w:hint="eastAsia" w:ascii="宋体" w:hAnsi="宋体" w:cs="宋体"/>
          <w:szCs w:val="21"/>
          <w:lang w:val="zh-CN" w:bidi="zh-CN"/>
        </w:rPr>
        <w:t>招标文件。</w:t>
      </w:r>
    </w:p>
    <w:p>
      <w:pPr>
        <w:numPr>
          <w:ilvl w:val="0"/>
          <w:numId w:val="5"/>
        </w:numPr>
        <w:autoSpaceDE w:val="0"/>
        <w:autoSpaceDN w:val="0"/>
        <w:spacing w:line="360" w:lineRule="auto"/>
        <w:ind w:firstLine="420" w:firstLineChars="200"/>
        <w:jc w:val="left"/>
        <w:rPr>
          <w:lang w:val="zh-CN"/>
        </w:rPr>
      </w:pPr>
      <w:bookmarkStart w:id="18" w:name="_Toc16177"/>
      <w:r>
        <w:rPr>
          <w:rFonts w:hint="eastAsia" w:ascii="宋体" w:hAnsi="宋体" w:cs="宋体"/>
          <w:szCs w:val="21"/>
          <w:lang w:val="zh-CN" w:bidi="zh-CN"/>
        </w:rPr>
        <w:t>如果潜在投标人认为本采购项目投标资格或采购内容中存在倾向性或排斥性的内容，可以在</w:t>
      </w:r>
      <w:r>
        <w:rPr>
          <w:rFonts w:hint="eastAsia" w:ascii="宋体" w:hAnsi="宋体" w:cs="宋体"/>
          <w:szCs w:val="21"/>
          <w:lang w:bidi="zh-CN"/>
        </w:rPr>
        <w:t>获得</w:t>
      </w:r>
      <w:r>
        <w:rPr>
          <w:rFonts w:hint="eastAsia" w:ascii="宋体" w:hAnsi="宋体" w:cs="宋体"/>
          <w:szCs w:val="21"/>
          <w:lang w:val="zh-CN" w:bidi="zh-CN"/>
        </w:rPr>
        <w:t>招标文件截止时间或者投标截止时间</w:t>
      </w:r>
      <w:r>
        <w:rPr>
          <w:rFonts w:hint="eastAsia" w:ascii="宋体" w:hAnsi="宋体" w:cs="宋体"/>
          <w:szCs w:val="21"/>
          <w:lang w:bidi="zh-CN"/>
        </w:rPr>
        <w:t>3</w:t>
      </w:r>
      <w:r>
        <w:rPr>
          <w:rFonts w:hint="eastAsia" w:ascii="宋体" w:hAnsi="宋体" w:cs="宋体"/>
          <w:szCs w:val="21"/>
          <w:lang w:val="zh-CN" w:bidi="zh-CN"/>
        </w:rPr>
        <w:t>日前以书面形式向</w:t>
      </w:r>
      <w:r>
        <w:rPr>
          <w:rFonts w:hint="eastAsia" w:ascii="宋体" w:hAnsi="宋体" w:cs="宋体"/>
          <w:szCs w:val="21"/>
          <w:lang w:bidi="zh-CN"/>
        </w:rPr>
        <w:t>国药集团扬州威克生物工程有限公司</w:t>
      </w:r>
      <w:r>
        <w:rPr>
          <w:rFonts w:hint="eastAsia" w:ascii="宋体" w:hAnsi="宋体" w:cs="宋体"/>
          <w:szCs w:val="21"/>
          <w:lang w:val="zh-CN" w:bidi="zh-CN"/>
        </w:rPr>
        <w:t>提出，并附相关证明资料。</w:t>
      </w:r>
    </w:p>
    <w:p>
      <w:pPr>
        <w:pStyle w:val="80"/>
        <w:numPr>
          <w:ilvl w:val="0"/>
          <w:numId w:val="5"/>
        </w:numPr>
        <w:spacing w:after="120"/>
        <w:ind w:firstLineChars="0"/>
        <w:rPr>
          <w:rFonts w:hint="eastAsia" w:ascii="宋体" w:hAnsi="宋体" w:eastAsia="宋体"/>
          <w:sz w:val="21"/>
          <w:szCs w:val="21"/>
          <w:lang w:val="en-US" w:bidi="ar-SA"/>
        </w:rPr>
      </w:pPr>
      <w:r>
        <w:rPr>
          <w:rFonts w:hint="eastAsia" w:ascii="宋体" w:hAnsi="宋体" w:eastAsia="宋体"/>
          <w:sz w:val="21"/>
          <w:szCs w:val="21"/>
        </w:rPr>
        <w:t>本项目公告发布平台</w:t>
      </w:r>
      <w:r>
        <w:rPr>
          <w:rFonts w:hint="eastAsia" w:ascii="宋体" w:hAnsi="宋体" w:eastAsia="宋体"/>
          <w:sz w:val="21"/>
          <w:szCs w:val="21"/>
          <w:lang w:val="en-US"/>
        </w:rPr>
        <w:t>：国药集团扬州威克生物工程有限公司官网（http://www.sinopharm-vacbio.com/）</w:t>
      </w:r>
      <w:r>
        <w:rPr>
          <w:rFonts w:hint="eastAsia" w:ascii="宋体" w:hAnsi="宋体" w:eastAsia="宋体"/>
          <w:sz w:val="21"/>
          <w:szCs w:val="21"/>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szCs w:val="21"/>
          <w:lang w:val="zh-CN" w:bidi="zh-CN"/>
        </w:rPr>
      </w:pPr>
      <w:bookmarkStart w:id="19" w:name="_Toc28912"/>
      <w:r>
        <w:rPr>
          <w:rFonts w:hint="eastAsia" w:ascii="宋体" w:hAnsi="宋体" w:cs="宋体"/>
          <w:b/>
          <w:bCs/>
          <w:szCs w:val="21"/>
          <w:lang w:val="zh-CN" w:bidi="zh-CN"/>
        </w:rPr>
        <w:t>八、监督部门</w:t>
      </w:r>
      <w:bookmarkEnd w:id="18"/>
      <w:bookmarkEnd w:id="1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本招标项目的监督为</w:t>
      </w:r>
      <w:r>
        <w:rPr>
          <w:rFonts w:hint="eastAsia" w:ascii="宋体" w:hAnsi="宋体" w:cs="宋体"/>
          <w:szCs w:val="21"/>
          <w:lang w:bidi="zh-CN"/>
        </w:rPr>
        <w:t>公司纪检人员</w:t>
      </w:r>
      <w:r>
        <w:rPr>
          <w:rFonts w:hint="eastAsia" w:ascii="宋体" w:hAnsi="宋体" w:cs="宋体"/>
          <w:szCs w:val="21"/>
          <w:lang w:val="zh-CN" w:bidi="zh-CN"/>
        </w:rPr>
        <w:t>。</w:t>
      </w:r>
    </w:p>
    <w:p>
      <w:pPr>
        <w:autoSpaceDE w:val="0"/>
        <w:autoSpaceDN w:val="0"/>
        <w:spacing w:line="360" w:lineRule="auto"/>
        <w:jc w:val="left"/>
        <w:outlineLvl w:val="1"/>
        <w:rPr>
          <w:rFonts w:hint="eastAsia" w:ascii="宋体" w:hAnsi="宋体" w:cs="宋体"/>
          <w:b/>
          <w:bCs/>
          <w:szCs w:val="21"/>
          <w:lang w:val="zh-CN" w:bidi="zh-CN"/>
        </w:rPr>
      </w:pPr>
      <w:bookmarkStart w:id="20" w:name="_Toc21816"/>
      <w:bookmarkStart w:id="21" w:name="_Toc5800"/>
      <w:r>
        <w:rPr>
          <w:rFonts w:hint="eastAsia" w:ascii="宋体" w:hAnsi="宋体" w:cs="宋体"/>
          <w:b/>
          <w:bCs/>
          <w:szCs w:val="21"/>
          <w:lang w:val="zh-CN" w:bidi="zh-CN"/>
        </w:rPr>
        <w:t>九、联系方式</w:t>
      </w:r>
      <w:bookmarkEnd w:id="20"/>
      <w:bookmarkEnd w:id="21"/>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招标人：</w:t>
      </w:r>
      <w:r>
        <w:rPr>
          <w:rFonts w:hint="eastAsia" w:ascii="宋体" w:hAnsi="宋体" w:cs="宋体"/>
          <w:szCs w:val="21"/>
          <w:lang w:bidi="zh-CN"/>
        </w:rPr>
        <w:t>国药集团扬州威克生物工程有限公司</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地 址： 扬州邗江工业园牧羊路15号</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联 系 人：</w:t>
      </w:r>
      <w:r>
        <w:rPr>
          <w:rFonts w:hint="eastAsia" w:ascii="宋体" w:hAnsi="宋体" w:cs="宋体"/>
          <w:szCs w:val="21"/>
          <w:lang w:val="en-US" w:bidi="zh-CN"/>
        </w:rPr>
        <w:t>陈娟</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 话 ：</w:t>
      </w:r>
      <w:r>
        <w:rPr>
          <w:rFonts w:hint="eastAsia" w:ascii="宋体" w:hAnsi="宋体" w:cs="宋体"/>
          <w:szCs w:val="21"/>
          <w:lang w:bidi="zh-CN"/>
        </w:rPr>
        <w:t xml:space="preserve">  0514-85106680转8025</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电子邮件：</w:t>
      </w:r>
      <w:r>
        <w:rPr>
          <w:rFonts w:hint="eastAsia" w:ascii="宋体" w:hAnsi="宋体" w:cs="宋体"/>
          <w:szCs w:val="21"/>
          <w:lang w:bidi="zh-CN"/>
        </w:rPr>
        <w:t xml:space="preserve">chenjuan1@sinopharm.com </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r>
        <w:rPr>
          <w:rFonts w:hint="eastAsia" w:ascii="宋体" w:hAnsi="宋体" w:cs="宋体"/>
          <w:szCs w:val="21"/>
          <w:lang w:val="zh-CN" w:bidi="zh-CN"/>
        </w:rPr>
        <w:t xml:space="preserve">  </w:t>
      </w:r>
      <w:bookmarkStart w:id="22" w:name="_Toc144974495"/>
      <w:bookmarkStart w:id="23" w:name="_Toc233102490"/>
      <w:bookmarkStart w:id="24" w:name="_Toc26325"/>
      <w:bookmarkStart w:id="25" w:name="_Toc77628939"/>
      <w:bookmarkStart w:id="26" w:name="_Toc29240255"/>
      <w:bookmarkStart w:id="27" w:name="_Toc390940505"/>
      <w:bookmarkStart w:id="28" w:name="_Toc152042303"/>
      <w:bookmarkStart w:id="29" w:name="_Toc179632544"/>
      <w:bookmarkStart w:id="30" w:name="_Toc77628605"/>
      <w:bookmarkStart w:id="31" w:name="_Toc77629019"/>
      <w:bookmarkStart w:id="32" w:name="_Toc152045527"/>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hint="eastAsia" w:ascii="宋体" w:hAnsi="宋体" w:eastAsia="宋体"/>
          <w:b/>
          <w:sz w:val="21"/>
          <w:szCs w:val="21"/>
        </w:rPr>
      </w:pPr>
      <w:bookmarkStart w:id="33" w:name="_Toc15300"/>
      <w:bookmarkStart w:id="34" w:name="_Toc390940506"/>
      <w:bookmarkStart w:id="35" w:name="_Toc152045528"/>
      <w:bookmarkStart w:id="36" w:name="_Toc233102491"/>
      <w:bookmarkStart w:id="37" w:name="_Toc152042304"/>
      <w:bookmarkStart w:id="38" w:name="_Toc144974496"/>
      <w:bookmarkStart w:id="39" w:name="_Toc77628940"/>
      <w:bookmarkStart w:id="40" w:name="_Toc29240256"/>
      <w:bookmarkStart w:id="41" w:name="_Toc77628606"/>
      <w:bookmarkStart w:id="42" w:name="_Toc179632545"/>
      <w:bookmarkStart w:id="43" w:name="_Toc7762902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hint="eastAsia"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招标人：国药集团扬州威克生物工程有限公司</w:t>
            </w:r>
          </w:p>
          <w:p>
            <w:pPr>
              <w:spacing w:line="360" w:lineRule="auto"/>
              <w:rPr>
                <w:rFonts w:hint="eastAsia" w:ascii="宋体" w:hAnsi="宋体"/>
                <w:szCs w:val="21"/>
              </w:rPr>
            </w:pPr>
            <w:r>
              <w:rPr>
                <w:rFonts w:hint="eastAsia" w:ascii="宋体" w:hAnsi="宋体"/>
                <w:szCs w:val="21"/>
              </w:rPr>
              <w:t>地址： 扬州邗江工业园牧羊路15号</w:t>
            </w:r>
          </w:p>
          <w:p>
            <w:pPr>
              <w:pStyle w:val="2"/>
              <w:rPr>
                <w:rFonts w:hint="eastAsia" w:eastAsia="宋体"/>
                <w:lang w:eastAsia="zh-CN"/>
              </w:rPr>
            </w:pPr>
            <w:r>
              <w:rPr>
                <w:rFonts w:hint="eastAsia"/>
              </w:rPr>
              <w:t>联系人：</w:t>
            </w:r>
            <w:r>
              <w:rPr>
                <w:rFonts w:hint="eastAsia"/>
                <w:lang w:val="en-US" w:eastAsia="zh-CN"/>
              </w:rPr>
              <w:t>陈娟</w:t>
            </w:r>
          </w:p>
          <w:p>
            <w:pPr>
              <w:spacing w:line="360" w:lineRule="auto"/>
              <w:rPr>
                <w:rFonts w:hint="eastAsia" w:ascii="宋体" w:hAnsi="宋体"/>
                <w:szCs w:val="21"/>
                <w:u w:val="single"/>
              </w:rPr>
            </w:pPr>
            <w:r>
              <w:rPr>
                <w:rFonts w:hint="eastAsia" w:ascii="宋体" w:hAnsi="宋体"/>
                <w:szCs w:val="21"/>
              </w:rPr>
              <w:t>电话：</w:t>
            </w:r>
            <w:r>
              <w:rPr>
                <w:rFonts w:hint="eastAsia" w:ascii="宋体" w:hAnsi="宋体" w:cs="宋体"/>
                <w:szCs w:val="21"/>
                <w:lang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hint="eastAsia" w:ascii="宋体" w:hAnsi="宋体" w:cs="Arial"/>
                <w:b/>
                <w:bCs/>
                <w:szCs w:val="21"/>
              </w:rPr>
            </w:pPr>
            <w:r>
              <w:rPr>
                <w:rFonts w:hint="eastAsia" w:ascii="宋体" w:hAnsi="宋体" w:cs="Arial"/>
                <w:b/>
                <w:bCs/>
                <w:szCs w:val="21"/>
              </w:rPr>
              <w:t>投标人资格要求：</w:t>
            </w:r>
          </w:p>
          <w:p>
            <w:pPr>
              <w:spacing w:line="360" w:lineRule="auto"/>
              <w:rPr>
                <w:rFonts w:hint="eastAsia"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hint="eastAsia"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p>
          <w:p>
            <w:pPr>
              <w:spacing w:line="360" w:lineRule="auto"/>
              <w:rPr>
                <w:rFonts w:hint="eastAsia"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hint="eastAsia"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hint="eastAsia"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hint="eastAsia"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hint="eastAsia"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的资格声明：是</w:t>
            </w:r>
          </w:p>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的授权书：提供</w:t>
            </w:r>
            <w:r>
              <w:rPr>
                <w:rFonts w:hint="eastAsia" w:ascii="宋体" w:hAnsi="宋体" w:cs="Arial"/>
                <w:szCs w:val="21"/>
              </w:rPr>
              <w:t>有效期内</w:t>
            </w:r>
            <w:r>
              <w:rPr>
                <w:rFonts w:ascii="宋体" w:hAnsi="宋体" w:cs="Arial"/>
                <w:szCs w:val="21"/>
              </w:rPr>
              <w:t>生产厂商关于本项目授权（函）</w:t>
            </w:r>
            <w:r>
              <w:rPr>
                <w:rFonts w:hint="eastAsia" w:ascii="宋体" w:hAnsi="宋体" w:cs="Arial"/>
                <w:szCs w:val="21"/>
              </w:rPr>
              <w:t>原</w:t>
            </w:r>
            <w:r>
              <w:rPr>
                <w:rFonts w:ascii="宋体" w:hAnsi="宋体" w:cs="Arial"/>
                <w:szCs w:val="21"/>
              </w:rPr>
              <w:t>件。</w:t>
            </w:r>
          </w:p>
          <w:p>
            <w:pPr>
              <w:spacing w:line="360" w:lineRule="auto"/>
              <w:rPr>
                <w:rFonts w:hint="eastAsia" w:ascii="宋体" w:hAnsi="宋体" w:cs="Arial"/>
                <w:szCs w:val="21"/>
              </w:rPr>
            </w:pPr>
            <w:r>
              <w:rPr>
                <w:rFonts w:ascii="宋体" w:hAnsi="宋体" w:cs="Arial"/>
                <w:szCs w:val="21"/>
              </w:rPr>
              <w:t>其他可接受的</w:t>
            </w:r>
            <w:r>
              <w:rPr>
                <w:rFonts w:hint="eastAsia" w:ascii="宋体" w:hAnsi="宋体" w:cs="Arial"/>
                <w:szCs w:val="21"/>
              </w:rPr>
              <w:t>生产厂商</w:t>
            </w:r>
            <w:r>
              <w:rPr>
                <w:rFonts w:ascii="宋体" w:hAnsi="宋体" w:cs="Arial"/>
                <w:szCs w:val="21"/>
              </w:rPr>
              <w:t>授权形式</w:t>
            </w:r>
            <w:r>
              <w:rPr>
                <w:rFonts w:hint="eastAsia" w:ascii="宋体" w:hAnsi="宋体" w:cs="Arial"/>
                <w:szCs w:val="21"/>
              </w:rPr>
              <w:t>：</w:t>
            </w:r>
            <w:r>
              <w:rPr>
                <w:rFonts w:ascii="宋体" w:hAnsi="宋体" w:cs="Arial"/>
                <w:szCs w:val="21"/>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hint="eastAsia" w:ascii="宋体" w:hAnsi="宋体"/>
                <w:b/>
                <w:szCs w:val="21"/>
              </w:rPr>
            </w:pPr>
            <w:r>
              <w:rPr>
                <w:rFonts w:hint="eastAsia" w:ascii="宋体" w:hAnsi="宋体"/>
                <w:b/>
                <w:szCs w:val="21"/>
              </w:rPr>
              <w:t>投标保证金：  0   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hint="eastAsia"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）。当</w:t>
            </w:r>
            <w:r>
              <w:t>电子文件与纸质文件内容不符时，</w:t>
            </w:r>
            <w:r>
              <w:rPr>
                <w:b/>
                <w:bCs/>
              </w:rPr>
              <w:t>以</w:t>
            </w:r>
            <w:r>
              <w:rPr>
                <w:rFonts w:hint="eastAsia"/>
                <w:b/>
                <w:bCs/>
              </w:rPr>
              <w:t>线上上传的电子版</w:t>
            </w:r>
            <w:r>
              <w:rPr>
                <w:b/>
                <w:bCs/>
              </w:rPr>
              <w:t>为准</w:t>
            </w:r>
            <w:r>
              <w:rPr>
                <w:rFonts w:hint="eastAsia"/>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szCs w:val="21"/>
              </w:rPr>
            </w:pPr>
            <w:r>
              <w:rPr>
                <w:rFonts w:hint="eastAsia" w:ascii="宋体" w:hAnsi="宋体"/>
                <w:b/>
                <w:bCs/>
                <w:szCs w:val="21"/>
              </w:rPr>
              <w:t>投标截止期：以具体通知时间为准（北京时间）</w:t>
            </w:r>
          </w:p>
          <w:p>
            <w:pPr>
              <w:spacing w:line="360" w:lineRule="auto"/>
              <w:rPr>
                <w:rFonts w:hint="eastAsia"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hint="eastAsia" w:ascii="宋体" w:hAnsi="宋体"/>
                <w:b/>
                <w:bCs/>
                <w:szCs w:val="21"/>
                <w:u w:val="single"/>
              </w:rPr>
            </w:pPr>
            <w:r>
              <w:rPr>
                <w:rFonts w:hint="eastAsia" w:ascii="宋体" w:hAnsi="宋体"/>
                <w:b/>
                <w:bCs/>
                <w:szCs w:val="21"/>
              </w:rPr>
              <w:t>开标时间：以招标公告时间为准（（北京时间）</w:t>
            </w:r>
          </w:p>
          <w:p>
            <w:pPr>
              <w:spacing w:line="360" w:lineRule="auto"/>
              <w:rPr>
                <w:rFonts w:hint="eastAsia"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评标方法：22.2（2）综合评分法（适用）</w:t>
            </w:r>
          </w:p>
          <w:p>
            <w:pPr>
              <w:spacing w:line="360" w:lineRule="auto"/>
              <w:ind w:firstLine="1050" w:firstLineChars="500"/>
              <w:rPr>
                <w:rFonts w:hint="eastAsia"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hint="eastAsia"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pPr>
            <w:r>
              <w:rPr>
                <w:rFonts w:hint="eastAsia"/>
              </w:rPr>
              <w:t>本次由招标人在评审委员会推荐的排名中选择</w:t>
            </w:r>
            <w:r>
              <w:rPr>
                <w:rFonts w:hint="eastAsia"/>
                <w:u w:val="single"/>
              </w:rPr>
              <w:t xml:space="preserve">  1  </w:t>
            </w:r>
            <w:r>
              <w:rPr>
                <w:rFonts w:hint="eastAsia"/>
              </w:rPr>
              <w:t>家供应商，每家供应数量以实际订单为准。</w:t>
            </w:r>
          </w:p>
          <w:p>
            <w:pPr>
              <w:numPr>
                <w:ilvl w:val="0"/>
                <w:numId w:val="6"/>
              </w:numPr>
              <w:spacing w:line="360" w:lineRule="auto"/>
            </w:pPr>
            <w:r>
              <w:rPr>
                <w:rFonts w:hint="eastAsia"/>
              </w:rPr>
              <w:t>付款方式：参照合同。</w:t>
            </w:r>
          </w:p>
          <w:p>
            <w:pPr>
              <w:spacing w:line="360" w:lineRule="auto"/>
            </w:pPr>
            <w:r>
              <w:rPr>
                <w:rFonts w:hint="eastAsia"/>
              </w:rPr>
              <w:t>3、交货期：</w:t>
            </w:r>
            <w:r>
              <w:rPr>
                <w:rFonts w:hint="eastAsia" w:ascii="宋体" w:hAnsi="宋体" w:cs="宋体"/>
                <w:szCs w:val="21"/>
                <w:lang w:val="zh-CN" w:bidi="zh-CN"/>
              </w:rPr>
              <w:t>根据</w:t>
            </w:r>
            <w:r>
              <w:rPr>
                <w:rFonts w:hint="eastAsia" w:ascii="宋体" w:hAnsi="宋体" w:cs="宋体"/>
                <w:szCs w:val="21"/>
                <w:lang w:bidi="zh-CN"/>
              </w:rPr>
              <w:t>招标人单次</w:t>
            </w:r>
            <w:r>
              <w:rPr>
                <w:rFonts w:hint="eastAsia" w:ascii="宋体" w:hAnsi="宋体" w:cs="宋体"/>
                <w:szCs w:val="21"/>
                <w:lang w:val="zh-CN" w:bidi="zh-CN"/>
              </w:rPr>
              <w:t>订单要求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完成配送</w:t>
            </w:r>
            <w:r>
              <w:rPr>
                <w:rFonts w:hint="eastAsia"/>
              </w:rPr>
              <w:t>。</w:t>
            </w:r>
          </w:p>
          <w:p>
            <w:pPr>
              <w:spacing w:line="360" w:lineRule="auto"/>
            </w:pPr>
            <w:r>
              <w:rPr>
                <w:rFonts w:hint="eastAsia"/>
              </w:rPr>
              <w:t>4、</w:t>
            </w:r>
            <w:r>
              <w:rPr>
                <w:rFonts w:hint="eastAsia" w:ascii="宋体" w:hAnsi="宋体" w:cs="宋体"/>
                <w:szCs w:val="21"/>
                <w:lang w:bidi="zh-CN"/>
              </w:rPr>
              <w:t>服务期限：服务期一年（除签订合同中另有约定）。</w:t>
            </w:r>
          </w:p>
          <w:p>
            <w:pPr>
              <w:spacing w:line="360" w:lineRule="auto"/>
            </w:pPr>
            <w:r>
              <w:rPr>
                <w:rFonts w:hint="eastAsia"/>
              </w:rPr>
              <w:t>5、由中标单位负责配送、卸货。</w:t>
            </w:r>
          </w:p>
          <w:p>
            <w:pPr>
              <w:spacing w:line="360" w:lineRule="auto"/>
            </w:pPr>
            <w:r>
              <w:rPr>
                <w:rFonts w:hint="eastAsia"/>
              </w:rPr>
              <w:t>6、招标文件“第六章 货物需求一览表及技术要求”中“*必需”的条款为关键技术于参数要求（如有），*号条款必须满足，如不满足，其投标将被否决。</w:t>
            </w:r>
          </w:p>
          <w:p>
            <w:pPr>
              <w:spacing w:line="360" w:lineRule="auto"/>
            </w:pPr>
            <w:r>
              <w:rPr>
                <w:rFonts w:hint="eastAsia"/>
              </w:rPr>
              <w:t>7、</w:t>
            </w:r>
            <w:r>
              <w:rPr>
                <w:rFonts w:hint="eastAsia"/>
                <w:b/>
                <w:bCs/>
              </w:rPr>
              <w:t>文件递交提醒：请投标人准备（1）一正一副、电子投标文件一份在截止时间前密封送至扬州邗江工业园牧羊路15号，收件人：</w:t>
            </w:r>
            <w:r>
              <w:rPr>
                <w:rFonts w:hint="eastAsia"/>
                <w:b/>
                <w:bCs/>
                <w:lang w:val="en-US" w:eastAsia="zh-CN"/>
              </w:rPr>
              <w:t>陈娟</w:t>
            </w:r>
            <w:r>
              <w:rPr>
                <w:rFonts w:hint="eastAsia"/>
                <w:b/>
                <w:bCs/>
              </w:rPr>
              <w:t xml:space="preserve">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hint="eastAsia" w:ascii="宋体" w:hAnsi="宋体"/>
                <w:b/>
                <w:szCs w:val="21"/>
              </w:rPr>
            </w:pPr>
            <w:r>
              <w:rPr>
                <w:rFonts w:hint="eastAsia" w:ascii="宋体" w:hAnsi="宋体"/>
                <w:b/>
                <w:szCs w:val="21"/>
              </w:rPr>
              <w:t>参加本次招标的投标人应不少于三家，且合格投标人少于三家时废标。</w:t>
            </w:r>
          </w:p>
          <w:p>
            <w:pPr>
              <w:adjustRightInd w:val="0"/>
              <w:snapToGrid w:val="0"/>
              <w:spacing w:line="360" w:lineRule="auto"/>
              <w:rPr>
                <w:rFonts w:hint="eastAsia"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hint="eastAsia"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hint="eastAsia"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hint="eastAsia"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hint="eastAsia"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hint="eastAsia" w:ascii="宋体" w:hAnsi="宋体"/>
                <w:bCs/>
                <w:szCs w:val="21"/>
              </w:rPr>
            </w:pPr>
            <w:r>
              <w:rPr>
                <w:rFonts w:hint="eastAsia" w:ascii="宋体" w:hAnsi="宋体"/>
                <w:bCs/>
                <w:szCs w:val="21"/>
              </w:rPr>
              <w:t>（四）不同供应商的响应文件相互混装；</w:t>
            </w:r>
          </w:p>
          <w:p>
            <w:pPr>
              <w:spacing w:line="360" w:lineRule="auto"/>
              <w:rPr>
                <w:rFonts w:hint="eastAsia"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77628941"/>
      <w:bookmarkStart w:id="45" w:name="_Toc77629021"/>
      <w:bookmarkStart w:id="46" w:name="_Toc29240257"/>
      <w:bookmarkStart w:id="47" w:name="_Toc520356143"/>
      <w:bookmarkStart w:id="48" w:name="_Toc77628607"/>
      <w:bookmarkStart w:id="49" w:name="_Toc4167"/>
      <w:bookmarkStart w:id="50" w:name="_Toc216582805"/>
      <w:bookmarkStart w:id="51" w:name="_Toc233102492"/>
      <w:bookmarkStart w:id="52" w:name="_Toc152045529"/>
      <w:bookmarkStart w:id="53" w:name="_Toc152042305"/>
      <w:bookmarkStart w:id="54" w:name="_Toc179632546"/>
      <w:bookmarkStart w:id="55" w:name="_Toc144974497"/>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hint="eastAsia" w:ascii="宋体" w:hAnsi="宋体"/>
          <w:sz w:val="21"/>
          <w:szCs w:val="21"/>
        </w:rPr>
      </w:pPr>
      <w:bookmarkStart w:id="56" w:name="_Toc468977532"/>
      <w:bookmarkStart w:id="57" w:name="_Toc478028053"/>
      <w:bookmarkStart w:id="58" w:name="_Toc468977703"/>
      <w:bookmarkStart w:id="59" w:name="_Toc29222761"/>
      <w:bookmarkStart w:id="60" w:name="_Toc468977618"/>
      <w:bookmarkStart w:id="61" w:name="_Toc520356144"/>
      <w:bookmarkStart w:id="62" w:name="_Toc29240258"/>
      <w:bookmarkStart w:id="63" w:name="_Toc478028212"/>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hint="eastAsia"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hint="eastAsia"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hint="eastAsia"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hint="eastAsia"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hint="eastAsia"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hint="eastAsia"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hint="eastAsia"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hint="eastAsia"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hint="eastAsia"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hint="eastAsia"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hint="eastAsia"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hint="eastAsia"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hint="eastAsia"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hint="eastAsia"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szCs w:val="21"/>
        </w:rPr>
      </w:pPr>
      <w:r>
        <w:rPr>
          <w:rFonts w:hint="eastAsia" w:ascii="宋体" w:hAnsi="宋体"/>
          <w:szCs w:val="21"/>
        </w:rPr>
        <w:t>1.7.1提供虚假的资料。</w:t>
      </w:r>
    </w:p>
    <w:p>
      <w:pPr>
        <w:spacing w:line="360" w:lineRule="auto"/>
        <w:ind w:left="1050" w:leftChars="200" w:hanging="630" w:hangingChars="300"/>
        <w:rPr>
          <w:rFonts w:hint="eastAsia"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hint="eastAsia"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hint="eastAsia"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hint="eastAsia" w:ascii="宋体" w:hAnsi="宋体"/>
          <w:sz w:val="21"/>
          <w:szCs w:val="21"/>
        </w:rPr>
      </w:pPr>
      <w:bookmarkStart w:id="64" w:name="_Toc478028213"/>
      <w:bookmarkStart w:id="65" w:name="_Toc468977619"/>
      <w:bookmarkStart w:id="66" w:name="_Toc29222762"/>
      <w:bookmarkStart w:id="67" w:name="_Toc29240259"/>
      <w:bookmarkStart w:id="68" w:name="_Toc468977533"/>
      <w:bookmarkStart w:id="69" w:name="_Toc468977704"/>
      <w:bookmarkStart w:id="70" w:name="_Toc478028054"/>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hint="eastAsia"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hint="eastAsia" w:ascii="宋体" w:hAnsi="宋体"/>
          <w:sz w:val="21"/>
          <w:szCs w:val="21"/>
        </w:rPr>
      </w:pPr>
      <w:bookmarkStart w:id="71" w:name="_Toc478028055"/>
      <w:bookmarkStart w:id="72" w:name="_Toc468977534"/>
      <w:bookmarkStart w:id="73" w:name="_Toc29222763"/>
      <w:bookmarkStart w:id="74" w:name="_Toc468977705"/>
      <w:bookmarkStart w:id="75" w:name="_Toc478028214"/>
      <w:bookmarkStart w:id="76" w:name="_Toc29240260"/>
      <w:bookmarkStart w:id="77" w:name="_Toc520356145"/>
      <w:bookmarkStart w:id="78" w:name="_Toc468977620"/>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hint="eastAsia"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hint="eastAsia" w:ascii="宋体" w:hAnsi="宋体"/>
          <w:sz w:val="21"/>
          <w:szCs w:val="21"/>
        </w:rPr>
      </w:pPr>
      <w:bookmarkStart w:id="79" w:name="_Toc478028215"/>
      <w:bookmarkStart w:id="80" w:name="_Toc468977706"/>
      <w:bookmarkStart w:id="81" w:name="_Toc29222764"/>
      <w:bookmarkStart w:id="82" w:name="_Toc29240261"/>
      <w:bookmarkStart w:id="83" w:name="_Toc468977621"/>
      <w:bookmarkStart w:id="84" w:name="_Toc468977535"/>
      <w:bookmarkStart w:id="85" w:name="_Toc478028056"/>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hint="eastAsia"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77628608"/>
      <w:bookmarkStart w:id="87" w:name="_Toc77628942"/>
      <w:bookmarkStart w:id="88" w:name="_Toc520356146"/>
      <w:bookmarkStart w:id="89" w:name="_Toc77629022"/>
      <w:bookmarkStart w:id="90" w:name="_Toc28093"/>
      <w:bookmarkStart w:id="91" w:name="_Toc216582806"/>
      <w:bookmarkStart w:id="92" w:name="_Toc29240262"/>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hint="eastAsia" w:ascii="宋体" w:hAnsi="宋体"/>
          <w:sz w:val="21"/>
          <w:szCs w:val="21"/>
        </w:rPr>
      </w:pPr>
      <w:bookmarkStart w:id="93" w:name="_Toc468977708"/>
      <w:bookmarkStart w:id="94" w:name="_Toc520356147"/>
      <w:bookmarkStart w:id="95" w:name="_Toc478028058"/>
      <w:bookmarkStart w:id="96" w:name="_Toc468977623"/>
      <w:bookmarkStart w:id="97" w:name="_Toc478028217"/>
      <w:bookmarkStart w:id="98" w:name="_Toc468977537"/>
      <w:bookmarkStart w:id="99" w:name="_Toc29240263"/>
      <w:bookmarkStart w:id="100" w:name="_Toc29222766"/>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hint="eastAsia"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hint="eastAsia"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hint="eastAsia"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hint="eastAsia" w:ascii="宋体" w:hAnsi="宋体"/>
          <w:sz w:val="21"/>
          <w:szCs w:val="21"/>
        </w:rPr>
      </w:pPr>
      <w:bookmarkStart w:id="101" w:name="_Toc478028218"/>
      <w:bookmarkStart w:id="102" w:name="_Toc29222767"/>
      <w:bookmarkStart w:id="103" w:name="_Toc468977709"/>
      <w:bookmarkStart w:id="104" w:name="_Toc468977624"/>
      <w:bookmarkStart w:id="105" w:name="_Toc520356148"/>
      <w:bookmarkStart w:id="106" w:name="_Toc478028059"/>
      <w:bookmarkStart w:id="107" w:name="_Toc29240264"/>
      <w:bookmarkStart w:id="108" w:name="_Toc46897753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hint="eastAsia"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hint="eastAsia" w:ascii="宋体" w:hAnsi="宋体"/>
          <w:sz w:val="21"/>
          <w:szCs w:val="21"/>
        </w:rPr>
      </w:pPr>
      <w:bookmarkStart w:id="109" w:name="_Toc29240265"/>
      <w:bookmarkStart w:id="110" w:name="_Toc29222768"/>
      <w:bookmarkStart w:id="111" w:name="_Toc468977625"/>
      <w:bookmarkStart w:id="112" w:name="_Toc478028060"/>
      <w:bookmarkStart w:id="113" w:name="_Ref467378678"/>
      <w:bookmarkStart w:id="114" w:name="_Toc468977539"/>
      <w:bookmarkStart w:id="115" w:name="_Toc520356149"/>
      <w:bookmarkStart w:id="116" w:name="_Toc468977710"/>
      <w:bookmarkStart w:id="117" w:name="_Toc478028219"/>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520356150"/>
      <w:bookmarkStart w:id="120" w:name="_Toc216582807"/>
    </w:p>
    <w:p>
      <w:pPr>
        <w:spacing w:before="120" w:beforeLines="50" w:after="120" w:afterLines="50" w:line="360" w:lineRule="auto"/>
        <w:jc w:val="center"/>
        <w:outlineLvl w:val="1"/>
        <w:rPr>
          <w:b/>
          <w:bCs/>
          <w:szCs w:val="21"/>
        </w:rPr>
      </w:pPr>
      <w:bookmarkStart w:id="121" w:name="_Toc77628943"/>
      <w:bookmarkStart w:id="122" w:name="_Toc77629023"/>
      <w:bookmarkStart w:id="123" w:name="_Toc77628609"/>
      <w:bookmarkStart w:id="124" w:name="_Toc29240266"/>
      <w:bookmarkStart w:id="125" w:name="_Toc1422"/>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hint="eastAsia" w:ascii="宋体" w:hAnsi="宋体"/>
          <w:sz w:val="21"/>
          <w:szCs w:val="21"/>
        </w:rPr>
      </w:pPr>
      <w:bookmarkStart w:id="126" w:name="_Toc29240267"/>
      <w:bookmarkStart w:id="127" w:name="_Toc468977712"/>
      <w:bookmarkStart w:id="128" w:name="_Toc468977627"/>
      <w:bookmarkStart w:id="129" w:name="_Toc516367021"/>
      <w:bookmarkStart w:id="130" w:name="_Toc478028221"/>
      <w:bookmarkStart w:id="131" w:name="_Toc29222770"/>
      <w:bookmarkStart w:id="132" w:name="_Toc468977541"/>
      <w:bookmarkStart w:id="133" w:name="_Toc520356151"/>
      <w:bookmarkStart w:id="134" w:name="_Toc478028062"/>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hint="eastAsia"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hint="eastAsia" w:ascii="宋体" w:hAnsi="宋体"/>
          <w:sz w:val="21"/>
          <w:szCs w:val="21"/>
        </w:rPr>
      </w:pPr>
      <w:bookmarkStart w:id="135" w:name="_Ref467306676"/>
      <w:bookmarkStart w:id="136" w:name="_Ref467306195"/>
      <w:bookmarkStart w:id="137" w:name="_Toc516367022"/>
      <w:bookmarkStart w:id="138" w:name="_Toc468977713"/>
      <w:bookmarkStart w:id="139" w:name="_Toc468977628"/>
      <w:bookmarkStart w:id="140" w:name="_Toc478028063"/>
      <w:bookmarkStart w:id="141" w:name="_Toc478028222"/>
      <w:bookmarkStart w:id="142" w:name="_Toc520356152"/>
      <w:bookmarkStart w:id="143" w:name="_Toc468977542"/>
      <w:bookmarkStart w:id="144" w:name="_Toc29222771"/>
      <w:bookmarkStart w:id="145" w:name="_Toc29240268"/>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hint="eastAsia"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hint="eastAsia"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hint="eastAsia"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hint="eastAsia"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hint="eastAsia" w:ascii="宋体" w:hAnsi="宋体"/>
          <w:sz w:val="21"/>
          <w:szCs w:val="21"/>
        </w:rPr>
      </w:pPr>
      <w:bookmarkStart w:id="147" w:name="_Toc520356153"/>
      <w:bookmarkStart w:id="148" w:name="_Toc468977543"/>
      <w:bookmarkStart w:id="149" w:name="_Toc29240269"/>
      <w:bookmarkStart w:id="150" w:name="_Toc29222772"/>
      <w:bookmarkStart w:id="151" w:name="_Toc516367023"/>
      <w:bookmarkStart w:id="152" w:name="_Toc468977714"/>
      <w:bookmarkStart w:id="153" w:name="_Toc478028064"/>
      <w:bookmarkStart w:id="154" w:name="_Toc478028223"/>
      <w:bookmarkStart w:id="155" w:name="_Toc468977629"/>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hint="eastAsia"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hint="eastAsia" w:ascii="宋体" w:hAnsi="宋体"/>
          <w:sz w:val="21"/>
          <w:szCs w:val="21"/>
        </w:rPr>
      </w:pPr>
      <w:bookmarkStart w:id="157" w:name="_Toc29240270"/>
      <w:bookmarkStart w:id="158" w:name="_Toc478028065"/>
      <w:bookmarkStart w:id="159" w:name="_Toc478028224"/>
      <w:bookmarkStart w:id="160" w:name="_Toc468977544"/>
      <w:bookmarkStart w:id="161" w:name="_Toc468977715"/>
      <w:bookmarkStart w:id="162" w:name="_Toc520356155"/>
      <w:bookmarkStart w:id="163" w:name="_Toc468977630"/>
      <w:bookmarkStart w:id="164" w:name="_Toc29222773"/>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hint="eastAsia"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hint="eastAsia"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hint="eastAsia"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hint="eastAsia" w:ascii="宋体" w:hAnsi="宋体"/>
          <w:sz w:val="21"/>
          <w:szCs w:val="21"/>
        </w:rPr>
      </w:pPr>
      <w:bookmarkStart w:id="165" w:name="_Toc29222774"/>
      <w:bookmarkStart w:id="166" w:name="_Toc478028225"/>
      <w:bookmarkStart w:id="167" w:name="_Toc520356156"/>
      <w:bookmarkStart w:id="168" w:name="_Ref467306513"/>
      <w:bookmarkStart w:id="169" w:name="_Toc468977545"/>
      <w:bookmarkStart w:id="170" w:name="_Toc29240271"/>
      <w:bookmarkStart w:id="171" w:name="_Toc468977631"/>
      <w:bookmarkStart w:id="172" w:name="_Toc478028066"/>
      <w:bookmarkStart w:id="173" w:name="_Toc468977716"/>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hint="eastAsia"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hint="eastAsia"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（4）中标人不按本须知第31条的规定缴纳中标服务费。</w:t>
      </w:r>
    </w:p>
    <w:p>
      <w:pPr>
        <w:spacing w:line="360" w:lineRule="auto"/>
        <w:ind w:left="420" w:hanging="420" w:hangingChars="200"/>
        <w:rPr>
          <w:rFonts w:hint="eastAsia"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hint="eastAsia"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hint="eastAsia"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hint="eastAsia" w:ascii="宋体" w:hAnsi="宋体"/>
          <w:sz w:val="21"/>
          <w:szCs w:val="21"/>
        </w:rPr>
      </w:pPr>
      <w:bookmarkStart w:id="176" w:name="_Toc468977546"/>
      <w:bookmarkStart w:id="177" w:name="_Toc29222775"/>
      <w:bookmarkStart w:id="178" w:name="_Toc468977632"/>
      <w:bookmarkStart w:id="179" w:name="_Toc478028226"/>
      <w:bookmarkStart w:id="180" w:name="_Toc478028067"/>
      <w:bookmarkStart w:id="181" w:name="_Toc520356157"/>
      <w:bookmarkStart w:id="182" w:name="_Toc468977717"/>
      <w:bookmarkStart w:id="183" w:name="_Toc29240272"/>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hint="eastAsia" w:ascii="宋体" w:hAnsi="宋体"/>
          <w:szCs w:val="21"/>
        </w:rPr>
      </w:pPr>
      <w:r>
        <w:rPr>
          <w:rFonts w:hint="eastAsia" w:ascii="宋体" w:hAnsi="宋体"/>
          <w:szCs w:val="21"/>
        </w:rPr>
        <w:t>13.1投标应在规定的截止日后，按照投标人须知前附表中规定时间内保持有效，投标有效期不满足要求的投标将被视为无效投标被拒绝。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hint="eastAsia" w:ascii="宋体" w:hAnsi="宋体"/>
          <w:sz w:val="21"/>
          <w:szCs w:val="21"/>
        </w:rPr>
      </w:pPr>
      <w:bookmarkStart w:id="184" w:name="_Toc520356158"/>
      <w:bookmarkStart w:id="185" w:name="_Toc468977718"/>
      <w:bookmarkStart w:id="186" w:name="_Toc29240273"/>
      <w:bookmarkStart w:id="187" w:name="_Toc29222776"/>
      <w:bookmarkStart w:id="188" w:name="_Toc468977547"/>
      <w:bookmarkStart w:id="189" w:name="_Toc478028068"/>
      <w:bookmarkStart w:id="190" w:name="_Toc478028227"/>
      <w:bookmarkStart w:id="191" w:name="_Toc468977633"/>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hint="eastAsia"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hint="eastAsia"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10734"/>
      <w:bookmarkStart w:id="193" w:name="_Toc520356159"/>
      <w:bookmarkStart w:id="194" w:name="_Toc216582808"/>
      <w:bookmarkStart w:id="195" w:name="_Toc29240274"/>
      <w:bookmarkStart w:id="196" w:name="_Toc77629024"/>
      <w:bookmarkStart w:id="197" w:name="_Toc77628944"/>
      <w:bookmarkStart w:id="198" w:name="_Toc77628610"/>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hint="eastAsia" w:ascii="宋体" w:hAnsi="宋体"/>
          <w:sz w:val="21"/>
          <w:szCs w:val="21"/>
        </w:rPr>
      </w:pPr>
      <w:bookmarkStart w:id="199" w:name="_Toc468977549"/>
      <w:bookmarkStart w:id="200" w:name="_Toc478028229"/>
      <w:bookmarkStart w:id="201" w:name="_Toc29222778"/>
      <w:bookmarkStart w:id="202" w:name="_Toc520356160"/>
      <w:bookmarkStart w:id="203" w:name="_Toc468977635"/>
      <w:bookmarkStart w:id="204" w:name="_Toc29240275"/>
      <w:bookmarkStart w:id="205" w:name="_Toc468977720"/>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hint="eastAsia"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15.3所有包装封皮和信封上均应：</w:t>
      </w:r>
    </w:p>
    <w:p>
      <w:pPr>
        <w:spacing w:line="360" w:lineRule="auto"/>
        <w:ind w:firstLine="420" w:firstLineChars="200"/>
        <w:rPr>
          <w:rFonts w:hint="eastAsia"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hint="eastAsia"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hint="eastAsia" w:ascii="宋体" w:hAnsi="宋体"/>
          <w:sz w:val="21"/>
          <w:szCs w:val="21"/>
        </w:rPr>
      </w:pPr>
      <w:bookmarkStart w:id="206" w:name="_Toc29222779"/>
      <w:bookmarkStart w:id="207" w:name="_Toc468977636"/>
      <w:bookmarkStart w:id="208" w:name="_Toc478028230"/>
      <w:bookmarkStart w:id="209" w:name="_Toc29240276"/>
      <w:bookmarkStart w:id="210" w:name="_Toc520356161"/>
      <w:bookmarkStart w:id="211" w:name="_Toc468977721"/>
      <w:bookmarkStart w:id="212" w:name="_Toc468977550"/>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hint="eastAsia"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hint="eastAsia"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hint="eastAsia" w:ascii="宋体" w:hAnsi="宋体"/>
          <w:sz w:val="21"/>
          <w:szCs w:val="21"/>
        </w:rPr>
      </w:pPr>
      <w:bookmarkStart w:id="213" w:name="_Toc29222780"/>
      <w:bookmarkStart w:id="214" w:name="_Toc478028231"/>
      <w:bookmarkStart w:id="215" w:name="_Toc468977637"/>
      <w:bookmarkStart w:id="216" w:name="_Toc468977551"/>
      <w:bookmarkStart w:id="217" w:name="_Toc29240277"/>
      <w:bookmarkStart w:id="218" w:name="_Toc520356162"/>
      <w:bookmarkStart w:id="219" w:name="_Toc468977722"/>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hint="eastAsia"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hint="eastAsia"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hint="eastAsia"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29240278"/>
      <w:bookmarkStart w:id="221" w:name="_Toc77629025"/>
      <w:bookmarkStart w:id="222" w:name="_Toc216582809"/>
      <w:bookmarkStart w:id="223" w:name="_Toc77628611"/>
      <w:bookmarkStart w:id="224" w:name="_Toc520356163"/>
      <w:bookmarkStart w:id="225" w:name="_Toc77628945"/>
      <w:bookmarkStart w:id="226" w:name="_Toc17414"/>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hint="eastAsia" w:ascii="宋体" w:hAnsi="宋体"/>
          <w:sz w:val="21"/>
          <w:szCs w:val="21"/>
        </w:rPr>
      </w:pPr>
      <w:bookmarkStart w:id="227" w:name="_Toc478028233"/>
      <w:bookmarkStart w:id="228" w:name="_Toc520356164"/>
      <w:bookmarkStart w:id="229" w:name="_Toc468977553"/>
      <w:bookmarkStart w:id="230" w:name="_Toc29222782"/>
      <w:bookmarkStart w:id="231" w:name="_Toc468977724"/>
      <w:bookmarkStart w:id="232" w:name="_Toc468977639"/>
      <w:bookmarkStart w:id="233" w:name="_Toc29240279"/>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hint="eastAsia" w:ascii="宋体" w:hAnsi="宋体"/>
          <w:szCs w:val="21"/>
        </w:rPr>
      </w:pPr>
      <w:r>
        <w:rPr>
          <w:rFonts w:hint="eastAsia" w:ascii="宋体" w:hAnsi="宋体"/>
          <w:szCs w:val="21"/>
        </w:rPr>
        <w:t>18.1将按通知的开标时间和地点组织开标，所有投标人代表均有权参加。</w:t>
      </w:r>
    </w:p>
    <w:p>
      <w:pPr>
        <w:tabs>
          <w:tab w:val="left" w:pos="0"/>
        </w:tabs>
        <w:spacing w:line="360" w:lineRule="auto"/>
        <w:ind w:left="420" w:hanging="420" w:hangingChars="200"/>
        <w:rPr>
          <w:rFonts w:hint="eastAsia"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hint="eastAsia"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hint="eastAsia"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hint="eastAsia" w:ascii="宋体" w:hAnsi="宋体"/>
          <w:sz w:val="21"/>
          <w:szCs w:val="21"/>
        </w:rPr>
      </w:pPr>
      <w:bookmarkStart w:id="235" w:name="_Toc29222783"/>
      <w:bookmarkStart w:id="236" w:name="_Toc29240280"/>
      <w:bookmarkStart w:id="237" w:name="_Toc468977554"/>
      <w:bookmarkStart w:id="238" w:name="_Toc468977725"/>
      <w:bookmarkStart w:id="239" w:name="_Toc468977640"/>
      <w:bookmarkStart w:id="240" w:name="_Toc478028234"/>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hint="eastAsia" w:ascii="宋体" w:hAnsi="宋体"/>
          <w:szCs w:val="21"/>
        </w:rPr>
      </w:pPr>
      <w:r>
        <w:rPr>
          <w:rFonts w:hint="eastAsia" w:ascii="宋体" w:hAnsi="宋体"/>
          <w:szCs w:val="21"/>
        </w:rPr>
        <w:t>评标委员会根据招标采购产品的特点，按照公司招议标管理规定的有关要求组建，并负责评标工作。</w:t>
      </w:r>
      <w:bookmarkStart w:id="241" w:name="_Toc520356166"/>
    </w:p>
    <w:p>
      <w:pPr>
        <w:pStyle w:val="5"/>
        <w:spacing w:before="0" w:after="0" w:line="360" w:lineRule="auto"/>
        <w:rPr>
          <w:rFonts w:hint="eastAsia" w:ascii="宋体" w:hAnsi="宋体"/>
          <w:b w:val="0"/>
          <w:bCs w:val="0"/>
          <w:sz w:val="21"/>
          <w:szCs w:val="21"/>
          <w:bdr w:val="single" w:color="auto" w:sz="4" w:space="0"/>
        </w:rPr>
      </w:pPr>
      <w:bookmarkStart w:id="242" w:name="_Toc29240281"/>
      <w:bookmarkStart w:id="243" w:name="_Toc468977641"/>
      <w:bookmarkStart w:id="244" w:name="_Toc468977555"/>
      <w:bookmarkStart w:id="245" w:name="_Toc478028235"/>
      <w:bookmarkStart w:id="246" w:name="_Toc29222784"/>
      <w:bookmarkStart w:id="247" w:name="_Toc468977726"/>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hint="eastAsia"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hint="eastAsia"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hint="eastAsia" w:ascii="宋体" w:hAnsi="宋体"/>
          <w:szCs w:val="21"/>
        </w:rPr>
      </w:pPr>
      <w:r>
        <w:rPr>
          <w:rFonts w:hint="eastAsia" w:ascii="宋体" w:hAnsi="宋体"/>
          <w:szCs w:val="21"/>
        </w:rPr>
        <w:t>20.2投标文件的澄清</w:t>
      </w:r>
    </w:p>
    <w:p>
      <w:pPr>
        <w:spacing w:line="360" w:lineRule="auto"/>
        <w:ind w:left="1050" w:leftChars="200" w:hanging="630" w:hangingChars="300"/>
        <w:rPr>
          <w:rFonts w:hint="eastAsia"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hint="eastAsia"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hint="eastAsia" w:ascii="宋体" w:hAnsi="宋体"/>
          <w:sz w:val="21"/>
          <w:szCs w:val="21"/>
        </w:rPr>
      </w:pPr>
      <w:bookmarkStart w:id="250" w:name="_Toc468977642"/>
      <w:bookmarkStart w:id="251" w:name="_Toc468977727"/>
      <w:bookmarkStart w:id="252" w:name="_Toc478028236"/>
      <w:bookmarkStart w:id="253" w:name="_Toc29222785"/>
      <w:bookmarkStart w:id="254" w:name="_Toc29240282"/>
      <w:bookmarkStart w:id="255" w:name="_Toc468977556"/>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hint="eastAsia"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hint="eastAsia" w:ascii="宋体" w:hAnsi="宋体"/>
          <w:sz w:val="21"/>
          <w:szCs w:val="21"/>
        </w:rPr>
      </w:pPr>
      <w:bookmarkStart w:id="256" w:name="_Toc468977557"/>
      <w:bookmarkStart w:id="257" w:name="_Toc468977643"/>
      <w:bookmarkStart w:id="258" w:name="_Toc29222786"/>
      <w:bookmarkStart w:id="259" w:name="_Toc29240283"/>
      <w:bookmarkStart w:id="260" w:name="_Toc478028237"/>
      <w:bookmarkStart w:id="261" w:name="_Toc468977728"/>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hint="eastAsia"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int="eastAsia"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int="eastAsia"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int="eastAsia"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hint="eastAsia" w:ascii="宋体" w:hAnsi="宋体"/>
          <w:sz w:val="21"/>
          <w:szCs w:val="21"/>
        </w:rPr>
      </w:pPr>
      <w:bookmarkStart w:id="262" w:name="_Toc468977558"/>
      <w:bookmarkStart w:id="263" w:name="_Toc468977729"/>
      <w:bookmarkStart w:id="264" w:name="_Toc29240284"/>
      <w:bookmarkStart w:id="265" w:name="_Toc468977644"/>
      <w:bookmarkStart w:id="266" w:name="_Toc29222787"/>
      <w:bookmarkStart w:id="267" w:name="_Toc478028238"/>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hint="eastAsia" w:ascii="宋体" w:hAnsi="宋体"/>
          <w:szCs w:val="21"/>
        </w:rPr>
      </w:pPr>
      <w:r>
        <w:rPr>
          <w:rFonts w:hint="eastAsia" w:ascii="宋体" w:hAnsi="宋体"/>
          <w:szCs w:val="21"/>
        </w:rPr>
        <w:t>23.1评标将在严格保密的情况下进行。</w:t>
      </w:r>
    </w:p>
    <w:p>
      <w:pPr>
        <w:spacing w:line="360" w:lineRule="auto"/>
        <w:ind w:left="420" w:hanging="420" w:hangingChars="200"/>
        <w:rPr>
          <w:rFonts w:hint="eastAsia"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hint="eastAsia"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8946"/>
      <w:bookmarkStart w:id="270" w:name="_Toc216582810"/>
      <w:bookmarkStart w:id="271" w:name="_Toc16391"/>
      <w:bookmarkStart w:id="272" w:name="_Toc77628612"/>
      <w:bookmarkStart w:id="273" w:name="_Toc29240285"/>
      <w:bookmarkStart w:id="274" w:name="_Toc77629026"/>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hint="eastAsia" w:ascii="宋体" w:hAnsi="宋体"/>
          <w:sz w:val="21"/>
          <w:szCs w:val="21"/>
        </w:rPr>
      </w:pPr>
      <w:bookmarkStart w:id="275" w:name="_Toc29222789"/>
      <w:bookmarkStart w:id="276" w:name="_Toc29240286"/>
      <w:bookmarkStart w:id="277" w:name="_Toc520356170"/>
      <w:bookmarkStart w:id="278" w:name="_Toc478028240"/>
      <w:bookmarkStart w:id="279" w:name="_Toc468977560"/>
      <w:bookmarkStart w:id="280" w:name="_Ref467307010"/>
      <w:bookmarkStart w:id="281" w:name="_Toc468977646"/>
      <w:bookmarkStart w:id="282" w:name="_Toc468977731"/>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hint="eastAsia"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hint="eastAsia"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hint="eastAsia" w:ascii="宋体" w:hAnsi="宋体"/>
          <w:sz w:val="21"/>
          <w:szCs w:val="21"/>
        </w:rPr>
      </w:pPr>
      <w:bookmarkStart w:id="283" w:name="_Toc520356171"/>
      <w:bookmarkStart w:id="284" w:name="_Toc29240287"/>
      <w:bookmarkStart w:id="285" w:name="_Toc468977647"/>
      <w:bookmarkStart w:id="286" w:name="_Toc478028241"/>
      <w:bookmarkStart w:id="287" w:name="_Toc468977732"/>
      <w:bookmarkStart w:id="288" w:name="_Toc468977561"/>
      <w:bookmarkStart w:id="289" w:name="_Toc29222790"/>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hint="eastAsia"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hint="eastAsia" w:ascii="宋体" w:hAnsi="宋体"/>
          <w:sz w:val="21"/>
          <w:szCs w:val="21"/>
        </w:rPr>
      </w:pPr>
      <w:bookmarkStart w:id="290" w:name="_Ref467306874"/>
      <w:bookmarkStart w:id="291" w:name="_Toc520356173"/>
      <w:bookmarkStart w:id="292" w:name="_Toc468977733"/>
      <w:bookmarkStart w:id="293" w:name="_Toc468977562"/>
      <w:bookmarkStart w:id="294" w:name="_Toc29222791"/>
      <w:bookmarkStart w:id="295" w:name="_Toc29240288"/>
      <w:bookmarkStart w:id="296" w:name="_Toc468977648"/>
      <w:bookmarkStart w:id="297" w:name="_Toc478028242"/>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hint="eastAsia"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hint="eastAsia" w:ascii="宋体" w:hAnsi="宋体"/>
          <w:sz w:val="21"/>
          <w:szCs w:val="21"/>
        </w:rPr>
      </w:pPr>
      <w:bookmarkStart w:id="299" w:name="_Toc29222792"/>
      <w:bookmarkStart w:id="300" w:name="_Toc478028243"/>
      <w:bookmarkStart w:id="301" w:name="_Toc468977563"/>
      <w:bookmarkStart w:id="302" w:name="_Toc468977649"/>
      <w:bookmarkStart w:id="303" w:name="_Toc468977734"/>
      <w:bookmarkStart w:id="304" w:name="_Toc29240289"/>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hint="eastAsia"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hint="eastAsia" w:ascii="宋体" w:hAnsi="宋体"/>
          <w:szCs w:val="21"/>
        </w:rPr>
      </w:pPr>
      <w:r>
        <w:rPr>
          <w:rFonts w:hint="eastAsia" w:ascii="宋体" w:hAnsi="宋体"/>
          <w:szCs w:val="21"/>
        </w:rPr>
        <w:t>28.2中标通知书是合同的组成部分。</w:t>
      </w:r>
    </w:p>
    <w:p>
      <w:pPr>
        <w:pStyle w:val="5"/>
        <w:spacing w:before="0" w:after="0" w:line="360" w:lineRule="auto"/>
        <w:rPr>
          <w:rFonts w:hint="eastAsia" w:ascii="宋体" w:hAnsi="宋体"/>
          <w:sz w:val="21"/>
          <w:szCs w:val="21"/>
        </w:rPr>
      </w:pPr>
      <w:bookmarkStart w:id="305" w:name="_Toc520356175"/>
      <w:bookmarkStart w:id="306" w:name="_Ref467307062"/>
      <w:bookmarkStart w:id="307" w:name="_Toc468977564"/>
      <w:bookmarkStart w:id="308" w:name="_Toc29222793"/>
      <w:bookmarkStart w:id="309" w:name="_Ref467306978"/>
      <w:bookmarkStart w:id="310" w:name="_Ref467307204"/>
      <w:bookmarkStart w:id="311" w:name="_Toc478028244"/>
      <w:bookmarkStart w:id="312" w:name="_Toc29240290"/>
      <w:bookmarkStart w:id="313" w:name="_Ref467306377"/>
      <w:bookmarkStart w:id="314" w:name="_Toc468977650"/>
      <w:bookmarkStart w:id="315" w:name="_Toc468977735"/>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hint="eastAsia" w:ascii="宋体" w:hAnsi="宋体"/>
          <w:szCs w:val="21"/>
        </w:rPr>
      </w:pPr>
      <w:r>
        <w:rPr>
          <w:rFonts w:hint="eastAsia" w:ascii="宋体" w:hAnsi="宋体"/>
          <w:szCs w:val="21"/>
        </w:rPr>
        <w:t>29.1中标人应当自发出中标通知书尽快与招标人签订合同。</w:t>
      </w:r>
    </w:p>
    <w:p>
      <w:pPr>
        <w:spacing w:line="360" w:lineRule="auto"/>
        <w:ind w:left="420" w:hanging="420" w:hangingChars="200"/>
        <w:rPr>
          <w:rFonts w:hint="eastAsia" w:ascii="宋体" w:hAnsi="宋体"/>
          <w:szCs w:val="21"/>
        </w:rPr>
      </w:pPr>
      <w:r>
        <w:rPr>
          <w:rFonts w:hint="eastAsia" w:ascii="宋体" w:hAnsi="宋体"/>
          <w:szCs w:val="21"/>
        </w:rPr>
        <w:t>29.2</w:t>
      </w:r>
      <w:bookmarkStart w:id="316" w:name="_Ref467307090"/>
      <w:bookmarkStart w:id="317" w:name="_Ref467306425"/>
      <w:bookmarkStart w:id="318" w:name="_Toc520356176"/>
      <w:r>
        <w:rPr>
          <w:rFonts w:hint="eastAsia" w:ascii="宋体" w:hAnsi="宋体"/>
          <w:szCs w:val="21"/>
        </w:rPr>
        <w:t>招标文件、中标人的投标文件及其澄清文件等，均为签订合同的依据。</w:t>
      </w:r>
    </w:p>
    <w:p>
      <w:pPr>
        <w:spacing w:line="360" w:lineRule="auto"/>
        <w:ind w:left="420" w:hanging="420" w:hangingChars="200"/>
        <w:rPr>
          <w:rFonts w:hint="eastAsia"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hint="eastAsia"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hint="eastAsia" w:ascii="宋体" w:hAnsi="宋体"/>
          <w:sz w:val="21"/>
          <w:szCs w:val="21"/>
        </w:rPr>
      </w:pPr>
      <w:bookmarkStart w:id="319" w:name="_Toc468977651"/>
      <w:bookmarkStart w:id="320" w:name="_Toc468977736"/>
      <w:bookmarkStart w:id="321" w:name="_Toc468977565"/>
      <w:bookmarkStart w:id="322" w:name="_Toc29240291"/>
      <w:bookmarkStart w:id="323" w:name="_Toc478028245"/>
      <w:bookmarkStart w:id="324" w:name="_Toc29222794"/>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hint="eastAsia"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hint="eastAsia"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hint="eastAsia" w:ascii="宋体" w:hAnsi="宋体"/>
          <w:sz w:val="21"/>
          <w:szCs w:val="21"/>
        </w:rPr>
      </w:pPr>
      <w:bookmarkStart w:id="325" w:name="_Toc29222796"/>
      <w:bookmarkStart w:id="326" w:name="_Toc478028247"/>
      <w:bookmarkStart w:id="327" w:name="_Toc29240293"/>
      <w:bookmarkStart w:id="328" w:name="_Toc468977653"/>
      <w:bookmarkStart w:id="329" w:name="_Toc468977738"/>
      <w:bookmarkStart w:id="330" w:name="_Toc468977567"/>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szCs w:val="21"/>
        </w:rPr>
      </w:pPr>
      <w:r>
        <w:rPr>
          <w:rFonts w:hint="eastAsia" w:ascii="宋体" w:hAnsi="宋体"/>
          <w:szCs w:val="21"/>
        </w:rPr>
        <w:t>31.1招标</w:t>
      </w:r>
      <w:r>
        <w:rPr>
          <w:rFonts w:ascii="宋体" w:hAnsi="宋体"/>
          <w:szCs w:val="21"/>
        </w:rPr>
        <w:t>工作人员</w:t>
      </w:r>
      <w:r>
        <w:rPr>
          <w:rFonts w:hint="eastAsia" w:ascii="宋体" w:hAnsi="宋体"/>
          <w:szCs w:val="21"/>
        </w:rPr>
        <w:t>不得以不正当手段获取代理业务，不得与招标人、投标人恶意串通操纵采购活动。</w:t>
      </w:r>
    </w:p>
    <w:p>
      <w:pPr>
        <w:spacing w:line="360" w:lineRule="auto"/>
        <w:ind w:left="420" w:hanging="420" w:hangingChars="200"/>
        <w:rPr>
          <w:rFonts w:hint="eastAsia" w:ascii="宋体" w:hAnsi="宋体"/>
          <w:szCs w:val="21"/>
        </w:rPr>
      </w:pPr>
      <w:r>
        <w:rPr>
          <w:rFonts w:ascii="宋体" w:hAnsi="宋体"/>
          <w:szCs w:val="21"/>
        </w:rPr>
        <w:t>3</w:t>
      </w:r>
      <w:r>
        <w:rPr>
          <w:rFonts w:hint="eastAsia" w:ascii="宋体" w:hAnsi="宋体"/>
          <w:szCs w:val="21"/>
        </w:rPr>
        <w:t>1</w:t>
      </w:r>
      <w:r>
        <w:rPr>
          <w:rFonts w:ascii="宋体" w:hAnsi="宋体"/>
          <w:szCs w:val="21"/>
        </w:rPr>
        <w:t>.2</w:t>
      </w:r>
      <w:r>
        <w:rPr>
          <w:rFonts w:hint="eastAsia" w:ascii="宋体" w:hAnsi="宋体"/>
          <w:szCs w:val="21"/>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hint="eastAsia" w:ascii="宋体" w:hAnsi="宋体"/>
          <w:sz w:val="21"/>
          <w:szCs w:val="21"/>
        </w:rPr>
      </w:pPr>
      <w:bookmarkStart w:id="331" w:name="_Toc468977739"/>
      <w:bookmarkStart w:id="332" w:name="_Toc468977568"/>
      <w:bookmarkStart w:id="333" w:name="_Toc468977654"/>
      <w:bookmarkStart w:id="334" w:name="_Toc478028248"/>
      <w:bookmarkStart w:id="335" w:name="_Toc29222797"/>
      <w:bookmarkStart w:id="336" w:name="_Toc29240294"/>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hint="eastAsia"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37" w:name="_Toc29240295"/>
      <w:bookmarkStart w:id="338" w:name="_Toc77628613"/>
      <w:bookmarkStart w:id="339" w:name="_Toc77628947"/>
      <w:bookmarkStart w:id="340" w:name="_Toc77629027"/>
      <w:bookmarkStart w:id="341" w:name="_Toc3414"/>
      <w:r>
        <w:rPr>
          <w:rFonts w:hint="eastAsia" w:ascii="宋体" w:hAnsi="宋体"/>
          <w:b/>
          <w:bCs/>
          <w:sz w:val="24"/>
        </w:rPr>
        <w:t>第三章 合同条款</w:t>
      </w:r>
      <w:bookmarkEnd w:id="337"/>
      <w:bookmarkEnd w:id="338"/>
      <w:bookmarkEnd w:id="339"/>
      <w:bookmarkEnd w:id="340"/>
      <w:bookmarkEnd w:id="341"/>
    </w:p>
    <w:p>
      <w:pPr>
        <w:jc w:val="center"/>
        <w:rPr>
          <w:rFonts w:hint="eastAsia" w:ascii="仿宋" w:hAnsi="仿宋" w:eastAsia="仿宋" w:cs="仿宋"/>
          <w:sz w:val="32"/>
          <w:szCs w:val="32"/>
        </w:rPr>
      </w:pPr>
      <w:bookmarkStart w:id="342" w:name="_Toc77629031"/>
      <w:bookmarkStart w:id="343" w:name="_Toc77628951"/>
      <w:bookmarkStart w:id="344" w:name="_Toc77628777"/>
      <w:bookmarkStart w:id="345" w:name="_Toc29240296"/>
      <w:bookmarkStart w:id="346" w:name="_Toc77628617"/>
      <w:bookmarkStart w:id="347" w:name="_Toc415222523"/>
      <w:r>
        <w:rPr>
          <w:rFonts w:hint="eastAsia" w:ascii="仿宋" w:hAnsi="仿宋" w:eastAsia="仿宋" w:cs="仿宋"/>
          <w:b/>
          <w:sz w:val="32"/>
          <w:szCs w:val="32"/>
        </w:rPr>
        <w:t xml:space="preserve"> 合 同 模 板</w:t>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hint="eastAsia" w:asciiTheme="minorEastAsia" w:hAnsiTheme="minorEastAsia" w:eastAsiaTheme="minorEastAsia" w:cstheme="minorEastAsia"/>
          <w:szCs w:val="21"/>
        </w:rPr>
      </w:pPr>
    </w:p>
    <w:p>
      <w:pPr>
        <w:spacing w:line="360" w:lineRule="auto"/>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hint="eastAsia" w:asciiTheme="minorEastAsia" w:hAnsiTheme="minorEastAsia" w:eastAsiaTheme="minorEastAsia" w:cstheme="minorEastAsia"/>
          <w:szCs w:val="21"/>
        </w:rPr>
      </w:pP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第三方检测项目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p>
        </w:tc>
        <w:tc>
          <w:tcPr>
            <w:tcW w:w="5712" w:type="dxa"/>
          </w:tcPr>
          <w:p>
            <w:pPr>
              <w:spacing w:line="360" w:lineRule="auto"/>
              <w:ind w:firstLine="480"/>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hint="eastAsia"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附件11——投标人认为需要提供的其它材料</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49" w:name="_Hlt520356241"/>
      <w:bookmarkEnd w:id="349"/>
      <w:bookmarkStart w:id="350" w:name="_Toc480942349"/>
      <w:bookmarkStart w:id="351" w:name="_Ref467988698"/>
      <w:bookmarkStart w:id="352" w:name="_Toc415222524"/>
      <w:bookmarkStart w:id="353" w:name="_Toc77628618"/>
      <w:bookmarkStart w:id="354" w:name="_Toc77628952"/>
      <w:bookmarkStart w:id="355" w:name="_Toc30068"/>
      <w:bookmarkStart w:id="356" w:name="_Toc216582813"/>
      <w:bookmarkStart w:id="357" w:name="_Toc520356217"/>
      <w:bookmarkStart w:id="358" w:name="_Toc29240297"/>
      <w:bookmarkStart w:id="359" w:name="_Toc77629032"/>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hint="eastAsia"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hint="eastAsia" w:ascii="宋体" w:hAnsi="宋体"/>
          <w:szCs w:val="21"/>
        </w:rPr>
      </w:pPr>
    </w:p>
    <w:p>
      <w:pPr>
        <w:pStyle w:val="20"/>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int="eastAsia" w:hAnsi="宋体"/>
          <w:szCs w:val="21"/>
        </w:rPr>
      </w:pPr>
      <w:r>
        <w:rPr>
          <w:rFonts w:hint="eastAsia" w:hAnsi="宋体"/>
          <w:szCs w:val="21"/>
        </w:rPr>
        <w:t>（1）开标一览表；</w:t>
      </w:r>
    </w:p>
    <w:p>
      <w:pPr>
        <w:pStyle w:val="20"/>
        <w:tabs>
          <w:tab w:val="left" w:pos="1080"/>
        </w:tabs>
        <w:spacing w:line="360" w:lineRule="auto"/>
        <w:ind w:left="420" w:leftChars="200"/>
        <w:rPr>
          <w:rFonts w:hint="eastAsia" w:hAnsi="宋体"/>
          <w:szCs w:val="21"/>
        </w:rPr>
      </w:pPr>
      <w:r>
        <w:rPr>
          <w:rFonts w:hint="eastAsia" w:hAnsi="宋体"/>
          <w:szCs w:val="21"/>
        </w:rPr>
        <w:t>（2）商务条款偏离表；</w:t>
      </w:r>
    </w:p>
    <w:p>
      <w:pPr>
        <w:pStyle w:val="20"/>
        <w:tabs>
          <w:tab w:val="left" w:pos="1080"/>
        </w:tabs>
        <w:spacing w:line="360" w:lineRule="auto"/>
        <w:ind w:left="420" w:leftChars="200"/>
        <w:rPr>
          <w:rFonts w:hint="eastAsia" w:hAnsi="宋体"/>
          <w:szCs w:val="21"/>
        </w:rPr>
      </w:pPr>
      <w:r>
        <w:rPr>
          <w:rFonts w:hint="eastAsia" w:hAnsi="宋体"/>
          <w:szCs w:val="21"/>
        </w:rPr>
        <w:t>（3）技术规格偏离表；</w:t>
      </w:r>
    </w:p>
    <w:p>
      <w:pPr>
        <w:pStyle w:val="20"/>
        <w:tabs>
          <w:tab w:val="left" w:pos="1080"/>
        </w:tabs>
        <w:spacing w:line="360" w:lineRule="auto"/>
        <w:ind w:left="420" w:leftChars="200"/>
        <w:rPr>
          <w:rFonts w:hint="eastAsia" w:hAnsi="宋体"/>
          <w:szCs w:val="21"/>
        </w:rPr>
      </w:pPr>
      <w:r>
        <w:rPr>
          <w:rFonts w:hint="eastAsia" w:hAnsi="宋体"/>
          <w:szCs w:val="21"/>
        </w:rPr>
        <w:t>（4）资格证明文件；</w:t>
      </w:r>
    </w:p>
    <w:p>
      <w:pPr>
        <w:pStyle w:val="20"/>
        <w:tabs>
          <w:tab w:val="left" w:pos="1080"/>
        </w:tabs>
        <w:spacing w:line="360" w:lineRule="auto"/>
        <w:ind w:left="420" w:leftChars="200"/>
        <w:rPr>
          <w:rFonts w:hint="eastAsia"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int="eastAsia" w:hAnsi="宋体"/>
          <w:szCs w:val="21"/>
          <w:u w:val="single"/>
        </w:rPr>
      </w:pPr>
      <w:r>
        <w:rPr>
          <w:rFonts w:hint="eastAsia" w:hAnsi="宋体"/>
          <w:szCs w:val="21"/>
        </w:rPr>
        <w:t>附投标价格表中规定的应提交和交付的产品投标报价为</w:t>
      </w:r>
      <w:r>
        <w:rPr>
          <w:rFonts w:hint="eastAsia" w:hAnsi="宋体"/>
          <w:szCs w:val="21"/>
          <w:u w:val="single"/>
        </w:rPr>
        <w:t xml:space="preserve">人民币 大写：    小写： </w:t>
      </w:r>
      <w:r>
        <w:rPr>
          <w:rFonts w:hAnsi="宋体"/>
          <w:szCs w:val="21"/>
          <w:u w:val="single"/>
        </w:rPr>
        <w:t xml:space="preserve">   </w:t>
      </w:r>
      <w:r>
        <w:rPr>
          <w:rFonts w:hint="eastAsia" w:hAnsi="宋体"/>
          <w:szCs w:val="21"/>
          <w:u w:val="single"/>
        </w:rPr>
        <w:t>（用文字和数字表示的投标报价）元</w:t>
      </w:r>
      <w:r>
        <w:rPr>
          <w:rFonts w:hint="eastAsia" w:hAnsi="宋体"/>
          <w:szCs w:val="21"/>
        </w:rPr>
        <w:t>。</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61" w:name="_Hlt520355938"/>
      <w:bookmarkEnd w:id="361"/>
      <w:bookmarkStart w:id="362" w:name="_Hlt520356243"/>
      <w:bookmarkEnd w:id="362"/>
      <w:bookmarkStart w:id="363" w:name="_Toc216582814"/>
      <w:bookmarkStart w:id="364" w:name="_Toc77628619"/>
      <w:bookmarkStart w:id="365" w:name="_Toc520356218"/>
      <w:bookmarkStart w:id="366" w:name="_Toc29240298"/>
      <w:bookmarkStart w:id="367" w:name="_Ref467988705"/>
      <w:bookmarkStart w:id="368" w:name="_Toc77628953"/>
      <w:bookmarkStart w:id="369" w:name="_Toc17672"/>
      <w:bookmarkStart w:id="370" w:name="_Toc77629033"/>
      <w:bookmarkStart w:id="371" w:name="_Toc480942350"/>
      <w:bookmarkStart w:id="372" w:name="_Toc415222525"/>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hint="eastAsia"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价格（元）</w:t>
            </w:r>
          </w:p>
        </w:tc>
        <w:tc>
          <w:tcPr>
            <w:tcW w:w="1936" w:type="dxa"/>
            <w:vAlign w:val="center"/>
          </w:tcPr>
          <w:p>
            <w:pPr>
              <w:spacing w:line="380" w:lineRule="exact"/>
              <w:ind w:firstLine="480" w:firstLineChars="200"/>
              <w:rPr>
                <w:rFonts w:hint="eastAsia" w:ascii="仿宋" w:hAnsi="仿宋" w:eastAsia="仿宋" w:cs="仿宋"/>
                <w:sz w:val="24"/>
              </w:rPr>
            </w:pPr>
            <w:r>
              <w:rPr>
                <w:rFonts w:hint="eastAsia" w:ascii="仿宋" w:hAnsi="仿宋" w:eastAsia="仿宋" w:cs="仿宋"/>
                <w:sz w:val="24"/>
              </w:rPr>
              <w:t>品牌</w:t>
            </w:r>
          </w:p>
        </w:tc>
        <w:tc>
          <w:tcPr>
            <w:tcW w:w="2391"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付款方式</w:t>
            </w:r>
          </w:p>
        </w:tc>
        <w:tc>
          <w:tcPr>
            <w:tcW w:w="1388"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供货期</w:t>
            </w:r>
          </w:p>
        </w:tc>
        <w:tc>
          <w:tcPr>
            <w:tcW w:w="2222"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hint="eastAsia"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hint="eastAsia"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int="eastAsia"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jc w:val="left"/>
        <w:rPr>
          <w:rFonts w:hint="eastAsia" w:hAnsi="宋体"/>
          <w:b/>
          <w:bCs/>
          <w:szCs w:val="21"/>
        </w:rPr>
      </w:pPr>
      <w:r>
        <w:rPr>
          <w:rFonts w:hint="eastAsia" w:hAnsi="宋体"/>
          <w:b/>
          <w:bCs/>
          <w:szCs w:val="21"/>
        </w:rPr>
        <w:t>注：</w:t>
      </w:r>
    </w:p>
    <w:p>
      <w:pPr>
        <w:pStyle w:val="20"/>
        <w:tabs>
          <w:tab w:val="left" w:pos="5580"/>
        </w:tabs>
        <w:spacing w:line="360" w:lineRule="auto"/>
        <w:jc w:val="left"/>
        <w:rPr>
          <w:rFonts w:hint="eastAsia"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73" w:name="_Toc77629034"/>
      <w:bookmarkStart w:id="374" w:name="_Toc77628954"/>
      <w:bookmarkStart w:id="375" w:name="_Toc15798"/>
      <w:bookmarkStart w:id="376" w:name="_Toc29240299"/>
      <w:bookmarkStart w:id="377" w:name="_Toc77628620"/>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69106629"/>
      <w:bookmarkStart w:id="379" w:name="_Toc273346625"/>
      <w:r>
        <w:rPr>
          <w:rFonts w:hAnsi="宋体" w:cs="Arial"/>
          <w:b/>
          <w:szCs w:val="21"/>
          <w:u w:val="single"/>
        </w:rPr>
        <w:t>（项目单位名称）</w:t>
      </w:r>
      <w:r>
        <w:rPr>
          <w:rFonts w:hAnsi="宋体" w:cs="Arial"/>
          <w:b/>
          <w:szCs w:val="21"/>
        </w:rPr>
        <w:t>：</w:t>
      </w:r>
    </w:p>
    <w:p>
      <w:pPr>
        <w:spacing w:line="360" w:lineRule="auto"/>
        <w:ind w:firstLine="420" w:firstLineChars="200"/>
        <w:rPr>
          <w:rFonts w:hint="eastAsia"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hint="eastAsia" w:ascii="宋体" w:hAnsi="宋体"/>
          <w:szCs w:val="21"/>
        </w:rPr>
      </w:pPr>
      <w:bookmarkStart w:id="380" w:name="_Toc273346626"/>
      <w:bookmarkStart w:id="381" w:name="_Toc269106630"/>
      <w:r>
        <w:rPr>
          <w:rFonts w:ascii="宋体" w:hAnsi="宋体"/>
          <w:szCs w:val="21"/>
        </w:rPr>
        <w:t>我方在此无条件地、不可撤销地承诺：</w:t>
      </w:r>
      <w:bookmarkEnd w:id="380"/>
      <w:bookmarkEnd w:id="381"/>
    </w:p>
    <w:p>
      <w:pPr>
        <w:spacing w:line="360" w:lineRule="auto"/>
        <w:ind w:firstLine="420" w:firstLineChars="200"/>
        <w:rPr>
          <w:rFonts w:hint="eastAsia"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hint="eastAsia"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hint="eastAsia"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hint="eastAsia" w:ascii="宋体" w:hAnsi="宋体"/>
          <w:szCs w:val="21"/>
        </w:rPr>
      </w:pPr>
      <w:r>
        <w:rPr>
          <w:rFonts w:ascii="宋体" w:hAnsi="宋体"/>
          <w:szCs w:val="21"/>
        </w:rPr>
        <w:t>3．我方在签订合同时未能提供合格的履约担保；</w:t>
      </w:r>
    </w:p>
    <w:p>
      <w:pPr>
        <w:spacing w:line="360" w:lineRule="auto"/>
        <w:ind w:firstLine="420" w:firstLineChars="200"/>
        <w:rPr>
          <w:rFonts w:hint="eastAsia" w:ascii="宋体" w:hAnsi="宋体"/>
          <w:szCs w:val="21"/>
        </w:rPr>
      </w:pPr>
      <w:r>
        <w:rPr>
          <w:rFonts w:ascii="宋体" w:hAnsi="宋体"/>
          <w:szCs w:val="21"/>
        </w:rPr>
        <w:t>4．我方发生招标文件投标人须知所述的情况。</w:t>
      </w:r>
    </w:p>
    <w:p>
      <w:pPr>
        <w:spacing w:line="360" w:lineRule="auto"/>
        <w:ind w:firstLine="420" w:firstLineChars="200"/>
        <w:rPr>
          <w:rFonts w:hint="eastAsia"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hint="eastAsia"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69106631"/>
      <w:bookmarkStart w:id="383" w:name="_Toc273346627"/>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hint="eastAsia"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hint="eastAsia"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hint="eastAsia" w:ascii="宋体" w:hAnsi="宋体"/>
          <w:szCs w:val="21"/>
        </w:rPr>
      </w:pPr>
      <w:r>
        <w:rPr>
          <w:rFonts w:hint="eastAsia" w:ascii="宋体" w:hAnsi="宋体"/>
          <w:szCs w:val="21"/>
        </w:rPr>
        <w:t>国药集团扬州威克生物工程有限公司：</w:t>
      </w:r>
    </w:p>
    <w:p>
      <w:pPr>
        <w:spacing w:line="360" w:lineRule="auto"/>
        <w:ind w:firstLine="420" w:firstLineChars="200"/>
        <w:rPr>
          <w:rFonts w:hint="eastAsia"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我公司账户如下：</w:t>
      </w:r>
    </w:p>
    <w:p>
      <w:pPr>
        <w:spacing w:line="360" w:lineRule="auto"/>
        <w:ind w:firstLine="420" w:firstLineChars="200"/>
        <w:rPr>
          <w:rFonts w:hint="eastAsia"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hint="eastAsia" w:ascii="宋体" w:hAnsi="宋体"/>
          <w:szCs w:val="21"/>
        </w:rPr>
      </w:pPr>
    </w:p>
    <w:p>
      <w:pPr>
        <w:spacing w:line="360" w:lineRule="auto"/>
        <w:rPr>
          <w:rFonts w:hint="eastAsia"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88" w:name="_Toc415222529"/>
      <w:bookmarkStart w:id="389" w:name="_Toc29240302"/>
      <w:bookmarkStart w:id="390" w:name="_Toc77628957"/>
      <w:bookmarkStart w:id="391" w:name="_Toc20445"/>
      <w:bookmarkStart w:id="392" w:name="_Toc77629037"/>
      <w:bookmarkStart w:id="393" w:name="_Toc77628623"/>
      <w:bookmarkStart w:id="394" w:name="_Toc216582818"/>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int="eastAsia" w:hAnsi="宋体"/>
                <w:szCs w:val="21"/>
              </w:rPr>
            </w:pPr>
            <w:r>
              <w:rPr>
                <w:rFonts w:hint="eastAsia" w:hAnsi="宋体"/>
                <w:szCs w:val="21"/>
              </w:rPr>
              <w:t>序号</w:t>
            </w:r>
          </w:p>
        </w:tc>
        <w:tc>
          <w:tcPr>
            <w:tcW w:w="2135" w:type="dxa"/>
            <w:vAlign w:val="center"/>
          </w:tcPr>
          <w:p>
            <w:pPr>
              <w:pStyle w:val="20"/>
              <w:spacing w:line="360" w:lineRule="auto"/>
              <w:jc w:val="center"/>
              <w:rPr>
                <w:rFonts w:hint="eastAsia"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int="eastAsia" w:hAnsi="宋体"/>
                <w:szCs w:val="21"/>
              </w:rPr>
            </w:pPr>
            <w:r>
              <w:rPr>
                <w:rFonts w:hint="eastAsia" w:hAnsi="宋体"/>
                <w:szCs w:val="21"/>
              </w:rPr>
              <w:t>投标响应</w:t>
            </w:r>
          </w:p>
        </w:tc>
        <w:tc>
          <w:tcPr>
            <w:tcW w:w="1769" w:type="dxa"/>
            <w:vAlign w:val="center"/>
          </w:tcPr>
          <w:p>
            <w:pPr>
              <w:pStyle w:val="20"/>
              <w:spacing w:line="360" w:lineRule="auto"/>
              <w:jc w:val="center"/>
              <w:rPr>
                <w:rFonts w:hint="eastAsia" w:hAnsi="宋体"/>
                <w:szCs w:val="21"/>
              </w:rPr>
            </w:pPr>
            <w:r>
              <w:rPr>
                <w:rFonts w:hint="eastAsia" w:hAnsi="宋体"/>
                <w:szCs w:val="21"/>
              </w:rPr>
              <w:t>偏离情况</w:t>
            </w:r>
          </w:p>
        </w:tc>
        <w:tc>
          <w:tcPr>
            <w:tcW w:w="1522" w:type="dxa"/>
            <w:vAlign w:val="center"/>
          </w:tcPr>
          <w:p>
            <w:pPr>
              <w:pStyle w:val="20"/>
              <w:spacing w:line="360" w:lineRule="auto"/>
              <w:jc w:val="center"/>
              <w:rPr>
                <w:rFonts w:hint="eastAsia"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1</w:t>
            </w:r>
          </w:p>
        </w:tc>
        <w:tc>
          <w:tcPr>
            <w:tcW w:w="2135" w:type="dxa"/>
          </w:tcPr>
          <w:p>
            <w:pPr>
              <w:pStyle w:val="20"/>
              <w:spacing w:line="360" w:lineRule="auto"/>
              <w:jc w:val="center"/>
              <w:rPr>
                <w:rFonts w:hint="eastAsia" w:hAnsi="宋体"/>
                <w:szCs w:val="21"/>
              </w:rPr>
            </w:pPr>
            <w:r>
              <w:rPr>
                <w:rFonts w:hint="eastAsia" w:hAnsi="宋体"/>
                <w:szCs w:val="21"/>
              </w:rPr>
              <w:t>投标有效期</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2</w:t>
            </w:r>
          </w:p>
        </w:tc>
        <w:tc>
          <w:tcPr>
            <w:tcW w:w="2135" w:type="dxa"/>
          </w:tcPr>
          <w:p>
            <w:pPr>
              <w:pStyle w:val="20"/>
              <w:spacing w:line="360" w:lineRule="auto"/>
              <w:jc w:val="center"/>
              <w:rPr>
                <w:rFonts w:hint="eastAsia" w:hAnsi="宋体"/>
                <w:szCs w:val="21"/>
              </w:rPr>
            </w:pPr>
            <w:r>
              <w:rPr>
                <w:rFonts w:hint="eastAsia" w:hAnsi="宋体"/>
                <w:szCs w:val="21"/>
              </w:rPr>
              <w:t>投标保证金</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3</w:t>
            </w:r>
          </w:p>
        </w:tc>
        <w:tc>
          <w:tcPr>
            <w:tcW w:w="2135" w:type="dxa"/>
          </w:tcPr>
          <w:p>
            <w:pPr>
              <w:pStyle w:val="20"/>
              <w:spacing w:line="360" w:lineRule="auto"/>
              <w:jc w:val="center"/>
              <w:rPr>
                <w:rFonts w:hint="eastAsia" w:hAnsi="宋体"/>
                <w:szCs w:val="21"/>
              </w:rPr>
            </w:pPr>
            <w:r>
              <w:rPr>
                <w:rFonts w:hint="eastAsia" w:hAnsi="宋体"/>
                <w:szCs w:val="21"/>
              </w:rPr>
              <w:t>合同条款</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bl>
    <w:p>
      <w:pPr>
        <w:pStyle w:val="20"/>
        <w:spacing w:line="360" w:lineRule="auto"/>
        <w:rPr>
          <w:rFonts w:hint="eastAsia" w:hAnsi="宋体"/>
          <w:szCs w:val="21"/>
        </w:rPr>
      </w:pPr>
    </w:p>
    <w:p>
      <w:pPr>
        <w:pStyle w:val="20"/>
        <w:spacing w:line="360" w:lineRule="auto"/>
        <w:jc w:val="left"/>
        <w:rPr>
          <w:rFonts w:hint="eastAsia"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int="eastAsia" w:hAnsi="宋体"/>
          <w:b/>
          <w:szCs w:val="21"/>
        </w:rPr>
      </w:pPr>
    </w:p>
    <w:p>
      <w:pPr>
        <w:pStyle w:val="20"/>
        <w:spacing w:line="360" w:lineRule="auto"/>
        <w:rPr>
          <w:rFonts w:hint="eastAsia" w:hAnsi="宋体"/>
          <w:b/>
          <w:szCs w:val="21"/>
        </w:rPr>
      </w:pPr>
    </w:p>
    <w:p>
      <w:pPr>
        <w:pStyle w:val="20"/>
        <w:spacing w:line="360" w:lineRule="auto"/>
        <w:rPr>
          <w:rFonts w:hint="eastAsia"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95" w:name="_Toc77628958"/>
      <w:bookmarkStart w:id="396" w:name="_Toc19842"/>
      <w:bookmarkStart w:id="397" w:name="_Toc29240303"/>
      <w:bookmarkStart w:id="398" w:name="_Toc216582817"/>
      <w:bookmarkStart w:id="399" w:name="_Toc415222528"/>
      <w:bookmarkStart w:id="400" w:name="_Toc77629038"/>
      <w:bookmarkStart w:id="401" w:name="_Toc77628624"/>
      <w:r>
        <w:rPr>
          <w:rFonts w:hint="eastAsia" w:ascii="宋体" w:hAnsi="宋体" w:eastAsia="宋体"/>
          <w:sz w:val="21"/>
          <w:szCs w:val="21"/>
        </w:rPr>
        <w:t>附件5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pStyle w:val="4"/>
        <w:rPr>
          <w:rFonts w:hint="eastAsia" w:ascii="宋体" w:hAnsi="宋体" w:eastAsia="宋体"/>
          <w:b w:val="0"/>
          <w:bCs w:val="0"/>
          <w:sz w:val="21"/>
          <w:szCs w:val="21"/>
        </w:rPr>
      </w:pPr>
      <w:bookmarkStart w:id="402" w:name="_Toc19589"/>
      <w:r>
        <w:rPr>
          <w:rFonts w:hint="eastAsia" w:ascii="宋体" w:hAnsi="宋体" w:eastAsia="宋体"/>
          <w:b w:val="0"/>
          <w:bCs w:val="0"/>
          <w:sz w:val="21"/>
          <w:szCs w:val="21"/>
        </w:rPr>
        <w:t>洁净检测第三方资质及检测工作要求</w:t>
      </w:r>
      <w:bookmarkEnd w:id="402"/>
    </w:p>
    <w:tbl>
      <w:tblPr>
        <w:tblStyle w:val="41"/>
        <w:tblW w:w="9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982"/>
        <w:gridCol w:w="1870"/>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序号</w:t>
            </w:r>
          </w:p>
        </w:tc>
        <w:tc>
          <w:tcPr>
            <w:tcW w:w="4982" w:type="dxa"/>
            <w:shd w:val="clear" w:color="auto" w:fill="auto"/>
            <w:vAlign w:val="center"/>
          </w:tcPr>
          <w:p>
            <w:pPr>
              <w:pStyle w:val="2"/>
              <w:jc w:val="center"/>
              <w:rPr>
                <w:rFonts w:hint="eastAsia" w:ascii="宋体" w:hAnsi="宋体" w:cs="宋体"/>
                <w:sz w:val="20"/>
              </w:rPr>
            </w:pPr>
            <w:r>
              <w:rPr>
                <w:rFonts w:hint="eastAsia" w:ascii="宋体" w:hAnsi="宋体" w:cs="宋体"/>
                <w:b/>
                <w:sz w:val="20"/>
              </w:rPr>
              <w:t>要求</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必需或期望</w:t>
            </w:r>
          </w:p>
        </w:tc>
        <w:tc>
          <w:tcPr>
            <w:tcW w:w="1870" w:type="dxa"/>
            <w:shd w:val="clear" w:color="auto" w:fill="auto"/>
            <w:vAlign w:val="center"/>
          </w:tcPr>
          <w:p>
            <w:pPr>
              <w:pStyle w:val="2"/>
              <w:jc w:val="center"/>
              <w:rPr>
                <w:rFonts w:hint="eastAsia" w:ascii="宋体" w:hAnsi="宋体" w:cs="宋体"/>
                <w:b/>
                <w:sz w:val="20"/>
              </w:rPr>
            </w:pPr>
            <w:r>
              <w:rPr>
                <w:rFonts w:hint="eastAsia" w:ascii="宋体" w:hAnsi="宋体" w:cs="宋体"/>
                <w:b/>
                <w:sz w:val="20"/>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URS001</w:t>
            </w:r>
          </w:p>
        </w:tc>
        <w:tc>
          <w:tcPr>
            <w:tcW w:w="4982" w:type="dxa"/>
            <w:shd w:val="clear" w:color="auto" w:fill="auto"/>
            <w:vAlign w:val="center"/>
          </w:tcPr>
          <w:p>
            <w:pPr>
              <w:pStyle w:val="2"/>
              <w:rPr>
                <w:rFonts w:hint="eastAsia" w:ascii="宋体" w:hAnsi="宋体" w:cs="宋体"/>
                <w:sz w:val="20"/>
              </w:rPr>
            </w:pPr>
            <w:r>
              <w:rPr>
                <w:rFonts w:hint="eastAsia" w:ascii="宋体" w:hAnsi="宋体" w:cs="宋体"/>
                <w:color w:val="000000"/>
                <w:sz w:val="20"/>
                <w:shd w:val="clear" w:color="auto" w:fill="FFFFFF"/>
              </w:rPr>
              <w:t>取得国家认证认可监督管理委员会或省级市场监督管理部门颁发的检验检测机构计量认证证书（CMA）或取得中国合格评定国家认可委员会颁发的实验室认可证书（CNAS），并具有附件中洁净室领域检测能力范围的洁净检测机构（以下简称洁净检测机构），在证书有效期内均可开展兽药生产企业洁净区检测工作。</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c>
          <w:tcPr>
            <w:tcW w:w="1870" w:type="dxa"/>
            <w:shd w:val="clear" w:color="auto" w:fill="auto"/>
            <w:vAlign w:val="center"/>
          </w:tcPr>
          <w:p>
            <w:pPr>
              <w:pStyle w:val="2"/>
              <w:jc w:val="center"/>
              <w:rPr>
                <w:rFonts w:hint="eastAsia"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URS002</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及时向拟开展洁净区检测业务的兽药生产企业所在地省级畜牧兽医主管部门报告，内容包括检测机构简介（含管理体系运行情况、计量标准管理等）、统一社会信用代码证书、计量认证证书或实验室认可证书（含证书附件）复印件等有效证明材料。</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c>
          <w:tcPr>
            <w:tcW w:w="1870" w:type="dxa"/>
            <w:shd w:val="clear" w:color="auto" w:fill="auto"/>
            <w:vAlign w:val="center"/>
          </w:tcPr>
          <w:p>
            <w:pPr>
              <w:pStyle w:val="2"/>
              <w:jc w:val="center"/>
              <w:rPr>
                <w:rFonts w:hint="eastAsia"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exact"/>
        </w:trPr>
        <w:tc>
          <w:tcPr>
            <w:tcW w:w="954" w:type="dxa"/>
            <w:shd w:val="clear" w:color="auto" w:fill="auto"/>
            <w:vAlign w:val="center"/>
          </w:tcPr>
          <w:p>
            <w:pPr>
              <w:pStyle w:val="2"/>
              <w:jc w:val="center"/>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URS003</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严格执行兽药GMP、兽用疫苗生产企业生物安全三级防护标准、空气净化检测以及生物安全等相关要求，按照规定的检测项目、检测方法和评价依据，在静态（非生产状态）下对兽药生产企业洁净区进行检测，出具洁净检测报告，确保检测项目完整、检测数据真实准确。要加强内部管理，严禁检测人员未经检测机构安排和未达到相关资质要求开展检测工作。要严格管理原始检测数据（记录），检测记录应有检测人员和核验人员的亲笔签名，并妥善保存6年以上。</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URS004</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加强现场检测活动管理，开展检测前，要根据委托方要求对涉及生物安全活动的场所进行有效消毒，相关人员要做好安全防护。检测过程中，要严格按照规范和标准操作，准确详细记录相关内容。检测结束后，规范出具检测报告，不得对已发出的检测报告进行修改，如确需修改或补充，应出具题为《对编号***检测报告的补充（更正）》的检测报告，对检测结果负责，承担相应责任。要及时将检测报告同时发送兽药生产企业及其所在地省级畜牧兽医主管部门。</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URS005</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洁净检测机构对出具的检测报告负责，同时应对委托方提供交流服务，在委托方后续的现场GMP验收检查过程中协助委托方对现场检查专家提供检测方法及检测结果的交流解答工作支持。</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bl>
    <w:p>
      <w:pPr>
        <w:spacing w:line="360" w:lineRule="auto"/>
        <w:rPr>
          <w:b/>
          <w:bCs/>
          <w:szCs w:val="21"/>
          <w:lang w:val="en-GB"/>
        </w:rPr>
      </w:pPr>
      <w:r>
        <w:rPr>
          <w:rFonts w:hint="eastAsia" w:ascii="宋体" w:hAnsi="宋体" w:cs="宋体"/>
          <w:b/>
          <w:bCs/>
          <w:szCs w:val="21"/>
        </w:rPr>
        <w:t>备注：*号条款必须满足</w:t>
      </w:r>
      <w:r>
        <w:rPr>
          <w:rFonts w:hint="eastAsia"/>
          <w:b/>
          <w:bCs/>
          <w:szCs w:val="21"/>
          <w:lang w:val="en-GB"/>
        </w:rPr>
        <w:t>。</w:t>
      </w:r>
    </w:p>
    <w:p>
      <w:pPr>
        <w:spacing w:line="360" w:lineRule="auto"/>
        <w:rPr>
          <w:b/>
          <w:bCs/>
          <w:szCs w:val="21"/>
          <w:lang w:val="en-GB"/>
        </w:rPr>
      </w:pPr>
    </w:p>
    <w:p>
      <w:pPr>
        <w:spacing w:line="360" w:lineRule="auto"/>
        <w:rPr>
          <w:b/>
          <w:bCs/>
          <w:szCs w:val="21"/>
          <w:lang w:val="en-GB"/>
        </w:rPr>
      </w:pPr>
    </w:p>
    <w:p>
      <w:pPr>
        <w:spacing w:line="360" w:lineRule="auto"/>
        <w:rPr>
          <w:b/>
          <w:bCs/>
          <w:szCs w:val="21"/>
        </w:rPr>
      </w:pPr>
    </w:p>
    <w:p>
      <w:pPr>
        <w:pStyle w:val="4"/>
        <w:rPr>
          <w:rFonts w:hint="eastAsia" w:ascii="宋体" w:hAnsi="宋体" w:eastAsia="宋体"/>
          <w:b w:val="0"/>
          <w:bCs w:val="0"/>
          <w:sz w:val="21"/>
          <w:szCs w:val="21"/>
        </w:rPr>
      </w:pPr>
      <w:bookmarkStart w:id="403" w:name="_Toc25261"/>
      <w:r>
        <w:rPr>
          <w:rFonts w:hint="eastAsia" w:ascii="宋体" w:hAnsi="宋体" w:eastAsia="宋体"/>
          <w:b w:val="0"/>
          <w:bCs w:val="0"/>
          <w:sz w:val="21"/>
          <w:szCs w:val="21"/>
        </w:rPr>
        <w:t>兽药生产企业洁净区静态检测项目要求</w:t>
      </w:r>
      <w:bookmarkEnd w:id="403"/>
    </w:p>
    <w:tbl>
      <w:tblPr>
        <w:tblStyle w:val="41"/>
        <w:tblW w:w="9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968"/>
        <w:gridCol w:w="991"/>
        <w:gridCol w:w="2673"/>
        <w:gridCol w:w="2446"/>
        <w:gridCol w:w="1002"/>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blHeader/>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序号</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检测项目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检测范围</w:t>
            </w:r>
          </w:p>
        </w:tc>
        <w:tc>
          <w:tcPr>
            <w:tcW w:w="26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检测方法依据</w:t>
            </w:r>
          </w:p>
        </w:tc>
        <w:tc>
          <w:tcPr>
            <w:tcW w:w="24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检测结果评价依据</w:t>
            </w:r>
          </w:p>
        </w:tc>
        <w:tc>
          <w:tcPr>
            <w:tcW w:w="1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适用对象</w:t>
            </w:r>
          </w:p>
        </w:tc>
        <w:tc>
          <w:tcPr>
            <w:tcW w:w="1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换气次数</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 ISO 14644-3:2019《洁净室及相关受控环境 第 3 部分：检测方法》附录B.2，或GB/T 25915.3-2010《洁净室及相关受控环境 第 3 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50073-2013《洁净厂房设计规范》条款6.3.3</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兽药正压生产线和非生物安全三级防护类负压生产线</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新风量</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50073-2013《洁净厂房设计规范》条款6.1.5，或GB 50457-2019  《医药工业洁净厂房设计标准》条款9.1.4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温度（必测）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第3部分：检测方法》附录B.5，或GB/T 25915.3-2010《洁净室及相关受控环境 第3部分：检测方法》附录B.8.2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50457-2019《医药工业洁净厂房设计标准》条款3.2.4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相对湿度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 3 部分：检测方法》附录B.6，或GB/T 25915.3-2010《洁净室及相关受控环境 第 3 部分：检测方法》附录B.9</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50591-2010《洁净室施工及验收规范》附录E.7</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《医药工业洁净厂房设计标准》条款3.2.6</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50073-2013《洁净厂房设计规范》条款4.4.1，或GB 50457-2019《医药工业洁净厂房设计标准》条款3.2.7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A级区风速（适用时必测）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50591-2010《洁净室施工及验收规范》附录E.1，或ISO 14644-3:2019《洁净室及相关受控环境 第3部分：检测方法》附录B.2，或GB/T 25915.3-2010《洁净室及相关受控环境 第3部分：检测方法》附录B.4，或GB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风速不均匀度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50591-2010《洁净室施工及验收规范》附录E.3，或ISO 14644-3:2019《洁净室及相关受控环境 第 3 部分：检测方法》附录B.2.2.3，或GB/T 25915.3-2010《洁净室及相关受控环境 第 3 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A级区气流流型（适用时必测）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50591-2010《洁净室施工及验收规范》附录E.12，或ISO 14644-3:2019《洁净室及相关受控环境 第 3 部分：检测方法》附录B.3.3，或GB/T 25915.3-2010《洁净室及相关受控环境 第 3 部分：检测方法》附录B.7.3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第九条、第三十三条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50591-2010《洁净室施工及验收规范》附录E.2，或ISO 14644-3:2019《洁净室及相关受控环境 第 3 部分：检测方法》附录B.1.2，或GB/T 25915.3-2010《洁净室及相关受控环境 第 3 部分：检测方法》附录B.5.2，或GB 50073-2013《洁净厂房设计规范》附录A.3.2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农业农村部令2020年第3号《兽药生产质量管理规范（2020年修订）》第四十五条，未涉及部分应满足设计和工艺要求</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悬浮粒子</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50591-2010《洁净室施工及验收规范》附录E.4，或GB/T 16292-2010《医药工业洁净室（区）悬浮粒子的测试方法》，或ISO 14644-3:2019《洁净室及相关受控环境 第3部分：检测方法》条款4.1，或GB/T 25915.1-2010《洁净室及相关受控环境 第 1 部分：空气洁净度等级》附录B，或ISO 14644-1:2015《洁净室及相关受控环境 第 1 部分：空气洁净度等级》附录 A，或GB 50073-2013《洁净厂房设计规范》附录A.3.5</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自净时间</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B级全检、C级主要操作间中换气次数最小房间抽检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50591-2010《洁净室施工及验收规范》附录E.11，或ISO 14644-3:2019 《洁净室及相关受控环境 第3部分：检测方法》附录B.4，或GB/T 25915.3-2010《洁净室及相关受控环境 第 3 部分：检测方法》附录B.12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第十条（七）</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A和B级全检、C和D级抽检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50591-2010《洁净室施工及验收规范》附录D.3，或ISO 14644-3:2019《洁净室及相关受控环境 第 3 部分：检测方法》附录B.7，或GB/T 25915.3-2010《洁净室及相关受控环境 第 3 部分：检测方法》附录B.6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排风高效过滤器检漏</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50591-2010《洁净室施工及验收规范》附录D.3，或GB 50346-2011 《生物安全实验室建筑技术规范》附录D.4，或ISO 14644-3:2019《洁净室及相关受控环境 第 3 部分：检测方法》附录B.7，或GB/T 25915.3-2010《洁净室及相关受控环境 第 3 部分：检测方法》附录B.6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50591-2010《洁净室施工及验收规范》附录D.3.8，或50346-2011 《生物安全实验室建筑技术规范》附录10.1.7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在包含1—14项的同时增加的检测项目或评价依据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生物安全三级防护类生产线及配套活毒废水处理系统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农业部公告第2573号《兽用疫苗生产企业生物安全三级防护标准》条款3.1.1.3和3.1.5.6</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围护结构严密性（必测）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农业部公告第2573号《兽用疫苗生产企业生物安全三级防护标准》条款3.1.2.3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高效过滤空调箱漏风率</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GB/T 14294-2008《组合式空调机组》条款7.5.4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农业部公告第2573号《兽用疫苗生产企业生物安全三级防护标准》条款3.1.3.10</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排风高效过滤装置密封性（适用时必测）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排风高效过滤装置高效过滤器检漏（必测）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50591-2010《洁净室施工及验收规范》附录D.3，或JG/T 497-2016《排风高效过滤装置》条款7.5.2，7.5.3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排水管呼吸过滤装置密封性（适用时必测）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排水管呼吸过滤单元高效过滤器检漏</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 JG/T 497-2016《排风高效过滤装置》条款7.5.2，7.5.3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在包含1—21项的同时增加的检测项目或评价依据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生物安全三级防护类检验用动物房效检攻毒区域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核心工作间及相邻缓冲围护结构气密性（必测）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《兽用疫苗生产企业生物安全三级防护标准》（农业部公告第2573号）中涉及活病原微生物操作质检室区域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生物安全柜性能验证（适用时必测）</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常规关键防护设备（生物安全三级防护类生产线、检验用动物房效检攻毒区、涉及活病原微生物操作质检室）</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 附录D.4，或YY 0569-2011《II级生物安全柜》条款6.3.2.4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50346-2011《生物安全实验室建筑技术规范》条款10.2.8，或YY 0569-2011《II级生物安全柜》条款6.3.3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50346-2011《生物安全实验室建筑技术规范》条款10.2.9，或YY 0569-2011《II级生物安全柜》条款6.3.4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气流流速</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50346-2011《生物安全实验室建筑技术规范》条款10.2.4及10.2.6，或YY 0569-2011《II级生物安全柜》条款6.3.7，6.3.8</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199-2015《实验室设备生物安全性能评价技术规范》条款4.1.4.1及4.1.4.3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气流烟雾模式</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50346-2011《生物安全实验室建筑技术规范》条款10.2.5，或YY 0569-2011《II级生物安全柜》条款6.3.9</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工作区洁净度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手套箱式隔离器性能验证（适用时必测）</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手套口气流</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50346-2011《生物安全实验室建筑技术规范》附录D.4，或GB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隔离器密封性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ISO 10648-2《隔离器—第二部分 按照密封性分级和相关检测方法》条款5.2，5.3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199-2015《实验室设备生物安全性能评价技术规范》条款4.2.4.5</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独立通风笼具（IVC）性能验证（适用时必测）</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气流速度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199-2015《实验室设备生物安全性能评价技术规范》条款4.3.4.1</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压差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风量/</w:t>
            </w:r>
          </w:p>
          <w:p>
            <w:pPr>
              <w:jc w:val="center"/>
              <w:rPr>
                <w:rFonts w:hint="eastAsia" w:ascii="宋体" w:hAnsi="宋体" w:cs="宋体"/>
              </w:rPr>
            </w:pPr>
            <w:r>
              <w:rPr>
                <w:rFonts w:hint="eastAsia" w:ascii="宋体" w:hAnsi="宋体" w:cs="宋体"/>
              </w:rPr>
              <w:t>换气次数</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气密性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 《生物安全实验室建筑技术规范》附录D.4，或GB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199-2015《实验室设备生物安全性能评价技术规范》条款4.3.4.5</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8672"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注：1.检测方法和检测结果评价的依据应为现行有效版标准。</w:t>
            </w:r>
          </w:p>
          <w:p>
            <w:pPr>
              <w:ind w:firstLine="480"/>
              <w:rPr>
                <w:rFonts w:hint="eastAsia" w:ascii="宋体" w:hAnsi="宋体" w:cs="宋体"/>
              </w:rPr>
            </w:pPr>
            <w:r>
              <w:rPr>
                <w:rFonts w:hint="eastAsia" w:ascii="宋体" w:hAnsi="宋体" w:cs="宋体"/>
              </w:rPr>
              <w:t>2.全检是指兽药生产企业各洁净区内的所有房间、走廊、缓冲间等，涉及该检测项目的，都应进行检测。</w:t>
            </w:r>
          </w:p>
          <w:p>
            <w:pPr>
              <w:ind w:firstLine="480"/>
              <w:rPr>
                <w:rFonts w:hint="eastAsia" w:ascii="宋体" w:hAnsi="宋体" w:cs="宋体"/>
              </w:rPr>
            </w:pPr>
            <w:r>
              <w:rPr>
                <w:rFonts w:hint="eastAsia" w:ascii="宋体" w:hAnsi="宋体" w:cs="宋体"/>
              </w:rPr>
              <w:t>3.适用时必测是指法规要求应有相应条件时，必须测定的项目。</w:t>
            </w:r>
          </w:p>
          <w:p>
            <w:pPr>
              <w:ind w:firstLine="480"/>
              <w:rPr>
                <w:rFonts w:hint="eastAsia" w:ascii="宋体" w:hAnsi="宋体" w:cs="宋体"/>
              </w:rPr>
            </w:pPr>
            <w:r>
              <w:rPr>
                <w:rFonts w:hint="eastAsia" w:ascii="宋体" w:hAnsi="宋体" w:cs="宋体"/>
              </w:rPr>
              <w:t xml:space="preserve">4.主要操作间是指用于承担生产或检验过程中关键工序的房间。 </w:t>
            </w:r>
          </w:p>
          <w:p>
            <w:pPr>
              <w:ind w:firstLine="480"/>
              <w:rPr>
                <w:rFonts w:hint="eastAsia" w:ascii="宋体" w:hAnsi="宋体" w:cs="宋体"/>
              </w:rPr>
            </w:pPr>
            <w:r>
              <w:rPr>
                <w:rFonts w:hint="eastAsia" w:ascii="宋体" w:hAnsi="宋体" w:cs="宋体"/>
              </w:rPr>
              <w:t>5.送风高效过滤器检漏：C和D级抽检是指按照每套通风空调系统对应高效送风口数量不少于10%进行抽查检测，且每套系统不少于3个。</w:t>
            </w:r>
          </w:p>
          <w:p>
            <w:pPr>
              <w:ind w:firstLine="480"/>
              <w:rPr>
                <w:rFonts w:hint="eastAsia" w:ascii="宋体" w:hAnsi="宋体" w:cs="宋体"/>
              </w:rPr>
            </w:pPr>
            <w:r>
              <w:rPr>
                <w:rFonts w:hint="eastAsia" w:ascii="宋体" w:hAnsi="宋体" w:cs="宋体"/>
              </w:rPr>
              <w:t>6.涉及生物安全三级防护类车间、检验用动物房效检攻毒区及活病原微生物操作质检室的检测项目，除进行对应区域所需检测项目外，还应进行“工况转换可靠性验证”、“系统启停可靠性验证”、“备用机组切换可靠性验证”、“电气、自控和故障报警系统可靠性验证”，验证结果应符合《兽用疫苗生产企业生物安全三级防护标准》（农业部公告第2573号）条款3.1.6、3.1.7和3.1.8的要求。</w:t>
            </w:r>
          </w:p>
        </w:tc>
        <w:tc>
          <w:tcPr>
            <w:tcW w:w="1002" w:type="dxa"/>
            <w:tcBorders>
              <w:top w:val="single" w:color="auto" w:sz="4" w:space="0"/>
              <w:left w:val="single" w:color="auto" w:sz="4" w:space="0"/>
              <w:bottom w:val="single" w:color="auto" w:sz="4" w:space="0"/>
              <w:right w:val="single" w:color="auto" w:sz="4" w:space="0"/>
            </w:tcBorders>
            <w:vAlign w:val="center"/>
          </w:tcPr>
          <w:p>
            <w:pPr>
              <w:ind w:firstLine="480"/>
              <w:rPr>
                <w:rFonts w:hint="eastAsia" w:ascii="宋体" w:hAnsi="宋体" w:cs="宋体"/>
              </w:rPr>
            </w:pPr>
          </w:p>
        </w:tc>
      </w:tr>
    </w:tbl>
    <w:p>
      <w:pPr>
        <w:pStyle w:val="2"/>
      </w:pP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04" w:name="_Toc77628959"/>
      <w:bookmarkStart w:id="405" w:name="_Toc520356224"/>
      <w:bookmarkStart w:id="406" w:name="_Toc77629039"/>
      <w:bookmarkStart w:id="407" w:name="_Toc29240304"/>
      <w:bookmarkStart w:id="408" w:name="_Toc77628625"/>
      <w:bookmarkStart w:id="409" w:name="_Toc480942355"/>
      <w:bookmarkStart w:id="410" w:name="_Toc415222530"/>
      <w:bookmarkStart w:id="411" w:name="_Ref467988543"/>
      <w:bookmarkStart w:id="412" w:name="_Toc216582819"/>
      <w:bookmarkStart w:id="413" w:name="_Toc32311"/>
      <w:r>
        <w:rPr>
          <w:rFonts w:hint="eastAsia" w:ascii="宋体" w:hAnsi="宋体" w:eastAsia="宋体"/>
          <w:sz w:val="21"/>
          <w:szCs w:val="21"/>
        </w:rPr>
        <w:t>附件6 资格证明文件</w:t>
      </w:r>
      <w:bookmarkEnd w:id="404"/>
      <w:bookmarkEnd w:id="405"/>
      <w:bookmarkEnd w:id="406"/>
      <w:bookmarkEnd w:id="407"/>
      <w:bookmarkEnd w:id="408"/>
      <w:bookmarkEnd w:id="409"/>
      <w:bookmarkEnd w:id="410"/>
      <w:bookmarkEnd w:id="411"/>
      <w:bookmarkEnd w:id="412"/>
      <w:bookmarkEnd w:id="413"/>
    </w:p>
    <w:p>
      <w:pPr>
        <w:tabs>
          <w:tab w:val="left" w:pos="5580"/>
        </w:tabs>
        <w:spacing w:line="360" w:lineRule="auto"/>
        <w:ind w:firstLine="420" w:firstLineChars="200"/>
        <w:rPr>
          <w:rFonts w:hint="eastAsia" w:ascii="宋体" w:hAnsi="宋体"/>
          <w:szCs w:val="21"/>
        </w:rPr>
      </w:pPr>
      <w:bookmarkStart w:id="414" w:name="_Toc77685369"/>
      <w:bookmarkStart w:id="415" w:name="_Toc77629399"/>
      <w:bookmarkStart w:id="416" w:name="_Toc77629040"/>
      <w:bookmarkStart w:id="417" w:name="_Toc77628786"/>
      <w:bookmarkStart w:id="418" w:name="_Toc77628960"/>
      <w:bookmarkStart w:id="419" w:name="_Toc77628626"/>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r>
        <w:rPr>
          <w:rFonts w:hint="eastAsia" w:ascii="宋体" w:hAnsi="宋体"/>
          <w:sz w:val="21"/>
          <w:szCs w:val="21"/>
        </w:rPr>
        <w:t>附件6-1 营业执照等证明文件</w:t>
      </w:r>
      <w:bookmarkEnd w:id="414"/>
      <w:bookmarkEnd w:id="415"/>
      <w:bookmarkEnd w:id="416"/>
      <w:bookmarkEnd w:id="417"/>
      <w:bookmarkEnd w:id="418"/>
      <w:bookmarkEnd w:id="419"/>
    </w:p>
    <w:p>
      <w:pPr>
        <w:pStyle w:val="20"/>
        <w:tabs>
          <w:tab w:val="left" w:pos="5580"/>
        </w:tabs>
        <w:spacing w:line="360" w:lineRule="auto"/>
        <w:ind w:left="420" w:leftChars="200"/>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hint="eastAsia"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20" w:name="_Hlt520350957"/>
      <w:bookmarkEnd w:id="420"/>
      <w:bookmarkStart w:id="421" w:name="_Hlt520350918"/>
      <w:bookmarkEnd w:id="421"/>
      <w:bookmarkStart w:id="422" w:name="_Hlt520273973"/>
      <w:bookmarkEnd w:id="422"/>
      <w:bookmarkStart w:id="423" w:name="_Hlt520274393"/>
      <w:bookmarkEnd w:id="423"/>
      <w:bookmarkStart w:id="424" w:name="_Hlt520273711"/>
      <w:bookmarkEnd w:id="424"/>
      <w:bookmarkStart w:id="425" w:name="_Hlt520274407"/>
      <w:bookmarkEnd w:id="425"/>
      <w:bookmarkStart w:id="426" w:name="_Hlt520274065"/>
      <w:bookmarkEnd w:id="426"/>
      <w:bookmarkStart w:id="427" w:name="_Hlt520343392"/>
      <w:bookmarkEnd w:id="427"/>
      <w:bookmarkStart w:id="428" w:name="_Hlt520343000"/>
      <w:bookmarkEnd w:id="428"/>
      <w:bookmarkStart w:id="429" w:name="_Hlt520274121"/>
      <w:bookmarkEnd w:id="429"/>
      <w:bookmarkStart w:id="430" w:name="_Hlt520271212"/>
      <w:bookmarkEnd w:id="430"/>
      <w:bookmarkStart w:id="431" w:name="_Toc77685370"/>
      <w:bookmarkStart w:id="432" w:name="_Toc77628627"/>
      <w:bookmarkStart w:id="433" w:name="_Toc77628787"/>
      <w:bookmarkStart w:id="434" w:name="_Toc77629041"/>
      <w:bookmarkStart w:id="435" w:name="_Toc77629400"/>
      <w:bookmarkStart w:id="436" w:name="_Toc77628961"/>
      <w:bookmarkStart w:id="437" w:name="_Toc520356228"/>
      <w:bookmarkStart w:id="438" w:name="_Toc520125062"/>
      <w:bookmarkStart w:id="439" w:name="_Ref467988471"/>
      <w:bookmarkStart w:id="440" w:name="_Toc520125061"/>
      <w:bookmarkStart w:id="441" w:name="_Toc520356229"/>
      <w:bookmarkStart w:id="442" w:name="_Ref467990101"/>
      <w:bookmarkStart w:id="443" w:name="_Ref467988485"/>
      <w:bookmarkStart w:id="444" w:name="_Ref467990064"/>
      <w:bookmarkStart w:id="445" w:name="_Ref467990058"/>
      <w:bookmarkStart w:id="446" w:name="_Ref467988479"/>
      <w:bookmarkStart w:id="447" w:name="_Ref467990100"/>
      <w:bookmarkStart w:id="448" w:name="_Toc480942357"/>
      <w:bookmarkStart w:id="449" w:name="_Toc480942358"/>
      <w:r>
        <w:rPr>
          <w:rFonts w:hint="eastAsia" w:ascii="宋体" w:hAnsi="宋体"/>
          <w:sz w:val="21"/>
          <w:szCs w:val="21"/>
        </w:rPr>
        <w:t>附件6-2 法定代表人授权书</w:t>
      </w:r>
      <w:bookmarkEnd w:id="431"/>
      <w:bookmarkEnd w:id="432"/>
      <w:bookmarkEnd w:id="433"/>
      <w:bookmarkEnd w:id="434"/>
      <w:bookmarkEnd w:id="435"/>
      <w:bookmarkEnd w:id="436"/>
    </w:p>
    <w:p>
      <w:pPr>
        <w:pStyle w:val="20"/>
        <w:tabs>
          <w:tab w:val="left" w:pos="5580"/>
        </w:tabs>
        <w:spacing w:line="360" w:lineRule="auto"/>
        <w:ind w:firstLine="420" w:firstLineChars="200"/>
        <w:rPr>
          <w:rFonts w:hint="eastAsia" w:hAnsi="宋体"/>
          <w:szCs w:val="21"/>
        </w:rPr>
      </w:pPr>
    </w:p>
    <w:p>
      <w:pPr>
        <w:pStyle w:val="20"/>
        <w:tabs>
          <w:tab w:val="left" w:pos="5580"/>
        </w:tabs>
        <w:spacing w:line="360" w:lineRule="auto"/>
        <w:ind w:firstLine="420" w:firstLineChars="200"/>
        <w:rPr>
          <w:rFonts w:hint="eastAsia"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7"/>
    <w:bookmarkEnd w:id="438"/>
    <w:bookmarkEnd w:id="439"/>
    <w:bookmarkEnd w:id="440"/>
    <w:bookmarkEnd w:id="441"/>
    <w:bookmarkEnd w:id="442"/>
    <w:bookmarkEnd w:id="443"/>
    <w:bookmarkEnd w:id="444"/>
    <w:bookmarkEnd w:id="445"/>
    <w:bookmarkEnd w:id="446"/>
    <w:bookmarkEnd w:id="447"/>
    <w:bookmarkEnd w:id="448"/>
    <w:bookmarkEnd w:id="449"/>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0" w:name="_Toc77685373"/>
      <w:bookmarkStart w:id="451" w:name="_Toc77628630"/>
      <w:bookmarkStart w:id="452" w:name="_Toc77628790"/>
      <w:bookmarkStart w:id="453" w:name="_Toc77628964"/>
      <w:bookmarkStart w:id="454" w:name="_Toc77629403"/>
      <w:bookmarkStart w:id="455" w:name="_Toc77629044"/>
      <w:r>
        <w:rPr>
          <w:rFonts w:hint="eastAsia" w:ascii="宋体" w:hAnsi="宋体"/>
          <w:sz w:val="21"/>
          <w:szCs w:val="21"/>
        </w:rPr>
        <w:t>附件6-3 生产厂商的授权书</w:t>
      </w:r>
      <w:bookmarkEnd w:id="450"/>
      <w:bookmarkEnd w:id="451"/>
      <w:bookmarkEnd w:id="452"/>
      <w:bookmarkEnd w:id="453"/>
      <w:bookmarkEnd w:id="454"/>
      <w:bookmarkEnd w:id="455"/>
      <w:r>
        <w:rPr>
          <w:rFonts w:hint="eastAsia" w:ascii="宋体" w:hAnsi="宋体"/>
          <w:sz w:val="21"/>
          <w:szCs w:val="21"/>
        </w:rPr>
        <w:t>（如需，格式供参考，可自拟）</w:t>
      </w:r>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hint="eastAsia"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6" w:name="_Toc77629404"/>
      <w:bookmarkStart w:id="457" w:name="_Toc77629045"/>
      <w:bookmarkStart w:id="458" w:name="_Toc77628631"/>
      <w:bookmarkStart w:id="459" w:name="_Toc77628791"/>
      <w:bookmarkStart w:id="460" w:name="_Toc77628965"/>
      <w:bookmarkStart w:id="461" w:name="_Toc77685374"/>
      <w:r>
        <w:rPr>
          <w:rFonts w:hint="eastAsia" w:ascii="宋体" w:hAnsi="宋体"/>
          <w:sz w:val="21"/>
          <w:szCs w:val="21"/>
        </w:rPr>
        <w:t>附件6-4</w:t>
      </w:r>
      <w:r>
        <w:rPr>
          <w:rFonts w:ascii="宋体" w:hAnsi="宋体"/>
          <w:sz w:val="21"/>
          <w:szCs w:val="21"/>
        </w:rPr>
        <w:t>资信证明</w:t>
      </w:r>
      <w:bookmarkEnd w:id="456"/>
      <w:bookmarkEnd w:id="457"/>
      <w:bookmarkEnd w:id="458"/>
      <w:bookmarkEnd w:id="459"/>
      <w:bookmarkEnd w:id="460"/>
      <w:r>
        <w:rPr>
          <w:rFonts w:hint="eastAsia" w:ascii="宋体" w:hAnsi="宋体"/>
          <w:sz w:val="21"/>
          <w:szCs w:val="21"/>
        </w:rPr>
        <w:t>或财务审计报告</w:t>
      </w:r>
      <w:bookmarkEnd w:id="461"/>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b/>
          <w:bCs/>
          <w:szCs w:val="21"/>
        </w:rPr>
      </w:pPr>
      <w:r>
        <w:rPr>
          <w:rFonts w:hint="eastAsia" w:ascii="宋体" w:hAnsi="宋体"/>
          <w:b/>
          <w:bCs/>
          <w:szCs w:val="21"/>
        </w:rPr>
        <w:t>注：</w:t>
      </w:r>
    </w:p>
    <w:p>
      <w:pPr>
        <w:tabs>
          <w:tab w:val="left" w:pos="5580"/>
        </w:tabs>
        <w:spacing w:line="360" w:lineRule="auto"/>
        <w:rPr>
          <w:rFonts w:hint="eastAsia"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hint="eastAsia"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int="eastAsia"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2" w:name="_Toc77629047"/>
      <w:bookmarkStart w:id="463" w:name="_Toc77628967"/>
      <w:bookmarkStart w:id="464" w:name="_Toc77628633"/>
      <w:bookmarkStart w:id="465" w:name="_Toc77628793"/>
      <w:bookmarkStart w:id="466" w:name="_Toc77685376"/>
      <w:bookmarkStart w:id="467" w:name="_Toc77629406"/>
      <w:r>
        <w:rPr>
          <w:rFonts w:hint="eastAsia" w:ascii="宋体" w:hAnsi="宋体"/>
          <w:sz w:val="21"/>
          <w:szCs w:val="21"/>
        </w:rPr>
        <w:t>附件6-5</w:t>
      </w:r>
      <w:r>
        <w:rPr>
          <w:rFonts w:ascii="宋体" w:hAnsi="宋体"/>
          <w:sz w:val="21"/>
          <w:szCs w:val="21"/>
        </w:rPr>
        <w:t xml:space="preserve"> </w:t>
      </w:r>
      <w:r>
        <w:rPr>
          <w:rFonts w:hint="eastAsia" w:ascii="宋体" w:hAnsi="宋体"/>
          <w:sz w:val="21"/>
          <w:szCs w:val="21"/>
        </w:rPr>
        <w:t>无重大违法记录的声明</w:t>
      </w:r>
      <w:bookmarkEnd w:id="462"/>
      <w:bookmarkEnd w:id="463"/>
      <w:bookmarkEnd w:id="464"/>
      <w:bookmarkEnd w:id="465"/>
      <w:bookmarkEnd w:id="466"/>
      <w:bookmarkEnd w:id="467"/>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hint="eastAsia"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hint="eastAsia"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hint="eastAsia"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8" w:name="_Toc77685377"/>
      <w:bookmarkStart w:id="469" w:name="_Toc77629407"/>
      <w:bookmarkStart w:id="470" w:name="_Toc77629048"/>
      <w:bookmarkStart w:id="471" w:name="_Toc77628634"/>
      <w:bookmarkStart w:id="472" w:name="_Toc77628794"/>
      <w:bookmarkStart w:id="473" w:name="_Toc77628968"/>
      <w:r>
        <w:rPr>
          <w:rFonts w:hint="eastAsia" w:ascii="宋体" w:hAnsi="宋体"/>
          <w:sz w:val="21"/>
          <w:szCs w:val="21"/>
        </w:rPr>
        <w:t>附件6-7近三年类似项目业绩一览表</w:t>
      </w:r>
      <w:bookmarkEnd w:id="468"/>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hint="eastAsia"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hint="eastAsia"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hint="eastAsia"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hint="eastAsia"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1</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2</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3</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4</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5</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6</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ascii="宋体" w:hAnsi="宋体"/>
                <w:szCs w:val="21"/>
              </w:rPr>
              <w:t>…</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bl>
    <w:p>
      <w:pPr>
        <w:pStyle w:val="20"/>
        <w:tabs>
          <w:tab w:val="left" w:pos="5580"/>
        </w:tabs>
        <w:spacing w:before="240" w:beforeLines="100" w:line="360" w:lineRule="auto"/>
        <w:jc w:val="left"/>
        <w:rPr>
          <w:rFonts w:hint="eastAsia"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74" w:name="_Toc77685378"/>
      <w:r>
        <w:rPr>
          <w:rFonts w:hint="eastAsia" w:ascii="宋体" w:hAnsi="宋体"/>
          <w:sz w:val="21"/>
          <w:szCs w:val="21"/>
        </w:rPr>
        <w:t>附件6-8</w:t>
      </w:r>
      <w:r>
        <w:rPr>
          <w:rFonts w:ascii="宋体" w:hAnsi="宋体"/>
          <w:sz w:val="21"/>
          <w:szCs w:val="21"/>
        </w:rPr>
        <w:t xml:space="preserve"> </w:t>
      </w:r>
      <w:r>
        <w:rPr>
          <w:rFonts w:hint="eastAsia" w:ascii="宋体" w:hAnsi="宋体"/>
          <w:sz w:val="21"/>
          <w:szCs w:val="21"/>
        </w:rPr>
        <w:t>其它资格证明文件</w:t>
      </w:r>
      <w:bookmarkEnd w:id="469"/>
      <w:bookmarkEnd w:id="470"/>
      <w:bookmarkEnd w:id="471"/>
      <w:bookmarkEnd w:id="472"/>
      <w:bookmarkEnd w:id="473"/>
      <w:bookmarkEnd w:id="474"/>
    </w:p>
    <w:p>
      <w:pPr>
        <w:pStyle w:val="20"/>
        <w:tabs>
          <w:tab w:val="left" w:pos="5580"/>
        </w:tabs>
        <w:spacing w:line="360" w:lineRule="auto"/>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hint="eastAsia"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hint="eastAsia"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75" w:name="_Toc23896"/>
      <w:bookmarkStart w:id="476" w:name="_Toc77628635"/>
      <w:bookmarkStart w:id="477" w:name="_Toc415222531"/>
      <w:bookmarkStart w:id="478" w:name="_Toc35349875"/>
      <w:bookmarkStart w:id="479" w:name="_Toc77629049"/>
      <w:bookmarkStart w:id="480" w:name="_Toc77628969"/>
      <w:bookmarkStart w:id="481" w:name="_Toc216582821"/>
      <w:bookmarkStart w:id="482" w:name="_Toc21651380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5"/>
      <w:bookmarkEnd w:id="476"/>
      <w:bookmarkEnd w:id="477"/>
      <w:bookmarkEnd w:id="478"/>
      <w:bookmarkEnd w:id="479"/>
      <w:bookmarkEnd w:id="480"/>
    </w:p>
    <w:p>
      <w:pPr>
        <w:spacing w:line="360" w:lineRule="auto"/>
        <w:ind w:left="1080" w:hanging="1080"/>
        <w:rPr>
          <w:rFonts w:hint="eastAsia" w:ascii="宋体" w:hAnsi="宋体"/>
          <w:szCs w:val="21"/>
        </w:rPr>
      </w:pPr>
    </w:p>
    <w:p>
      <w:pPr>
        <w:spacing w:line="360" w:lineRule="auto"/>
        <w:ind w:left="1080" w:hanging="1080"/>
        <w:rPr>
          <w:rFonts w:hint="eastAsia" w:ascii="宋体" w:hAnsi="宋体"/>
          <w:szCs w:val="21"/>
          <w:u w:val="single"/>
        </w:rPr>
      </w:pPr>
      <w:r>
        <w:rPr>
          <w:rFonts w:hint="eastAsia" w:ascii="宋体" w:hAnsi="宋体"/>
          <w:szCs w:val="21"/>
        </w:rPr>
        <w:t>致：国药集团扬州威克生物工程有限公司</w:t>
      </w:r>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hint="eastAsia" w:ascii="宋体" w:hAnsi="宋体"/>
          <w:szCs w:val="21"/>
        </w:rPr>
      </w:pPr>
      <w:r>
        <w:rPr>
          <w:rFonts w:hint="eastAsia" w:ascii="宋体" w:hAnsi="宋体"/>
          <w:szCs w:val="21"/>
        </w:rPr>
        <w:t>特此承诺！</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hint="eastAsia"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81"/>
      <w:bookmarkEnd w:id="482"/>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3" w:name="_Toc35349876"/>
      <w:bookmarkStart w:id="484" w:name="_Toc77628970"/>
      <w:bookmarkStart w:id="485" w:name="_Toc25002"/>
      <w:bookmarkStart w:id="486" w:name="_Toc77629050"/>
      <w:bookmarkStart w:id="487" w:name="_Toc77628636"/>
      <w:r>
        <w:rPr>
          <w:rFonts w:hint="eastAsia" w:ascii="宋体" w:hAnsi="宋体" w:eastAsia="宋体"/>
          <w:sz w:val="21"/>
          <w:szCs w:val="21"/>
        </w:rPr>
        <w:t>附件7 反商业贿赂承诺书</w:t>
      </w:r>
      <w:bookmarkEnd w:id="483"/>
      <w:bookmarkEnd w:id="484"/>
      <w:bookmarkEnd w:id="485"/>
      <w:bookmarkEnd w:id="486"/>
      <w:bookmarkEnd w:id="487"/>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r>
        <w:rPr>
          <w:rFonts w:hint="eastAsia" w:hAnsi="宋体"/>
          <w:szCs w:val="21"/>
        </w:rPr>
        <w:t>我公司承诺：</w:t>
      </w:r>
    </w:p>
    <w:p>
      <w:pPr>
        <w:tabs>
          <w:tab w:val="left" w:pos="5580"/>
        </w:tabs>
        <w:spacing w:line="360" w:lineRule="auto"/>
        <w:ind w:firstLine="420" w:firstLineChars="200"/>
        <w:rPr>
          <w:rFonts w:hint="eastAsia"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int="eastAsia"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int="eastAsia"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int="eastAsia"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int="eastAsia"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int="eastAsia"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int="eastAsia"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spacing w:line="360" w:lineRule="auto"/>
        <w:ind w:firstLine="3360" w:firstLineChars="1600"/>
        <w:jc w:val="right"/>
        <w:rPr>
          <w:rFonts w:hint="eastAsia" w:ascii="宋体" w:hAnsi="宋体"/>
          <w:u w:val="single"/>
        </w:rPr>
      </w:pPr>
      <w:bookmarkStart w:id="488" w:name="_Toc29240311"/>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9" w:name="_Toc20295"/>
      <w:bookmarkStart w:id="490" w:name="_Toc77628971"/>
      <w:bookmarkStart w:id="491" w:name="_Toc77628637"/>
      <w:bookmarkStart w:id="492" w:name="_Toc77629051"/>
      <w:r>
        <w:rPr>
          <w:rFonts w:hint="eastAsia" w:ascii="宋体" w:hAnsi="宋体" w:eastAsia="宋体"/>
          <w:sz w:val="21"/>
          <w:szCs w:val="21"/>
        </w:rPr>
        <w:t>附件8 投标人控股及管理关系情况表</w:t>
      </w:r>
      <w:bookmarkEnd w:id="489"/>
    </w:p>
    <w:p>
      <w:pPr>
        <w:spacing w:line="360" w:lineRule="auto"/>
        <w:ind w:firstLine="420" w:firstLineChars="200"/>
        <w:jc w:val="left"/>
        <w:rPr>
          <w:rFonts w:hint="eastAsia" w:ascii="宋体" w:hAnsi="宋体"/>
          <w:bCs/>
          <w:szCs w:val="21"/>
        </w:rPr>
      </w:pPr>
    </w:p>
    <w:p>
      <w:pPr>
        <w:spacing w:line="360" w:lineRule="auto"/>
        <w:ind w:firstLine="420" w:firstLineChars="200"/>
        <w:jc w:val="left"/>
        <w:rPr>
          <w:rFonts w:hint="eastAsia"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hint="eastAsia" w:ascii="宋体" w:hAnsi="宋体" w:cs="宋体"/>
                <w:kern w:val="0"/>
                <w:szCs w:val="21"/>
              </w:rPr>
            </w:pPr>
          </w:p>
        </w:tc>
      </w:tr>
    </w:tbl>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hint="eastAsia" w:ascii="宋体" w:hAnsi="宋体"/>
          <w:kern w:val="0"/>
          <w:szCs w:val="21"/>
        </w:rPr>
      </w:pPr>
    </w:p>
    <w:p>
      <w:pPr>
        <w:tabs>
          <w:tab w:val="left" w:pos="5580"/>
        </w:tabs>
        <w:spacing w:line="360" w:lineRule="auto"/>
        <w:rPr>
          <w:rFonts w:hint="eastAsia" w:ascii="宋体" w:hAnsi="宋体"/>
          <w:b/>
          <w:bCs/>
          <w:kern w:val="0"/>
          <w:szCs w:val="21"/>
        </w:rPr>
      </w:pPr>
      <w:r>
        <w:rPr>
          <w:rFonts w:hint="eastAsia" w:ascii="宋体" w:hAnsi="宋体"/>
          <w:b/>
          <w:bCs/>
          <w:kern w:val="0"/>
          <w:szCs w:val="21"/>
        </w:rPr>
        <w:t>注：</w:t>
      </w:r>
    </w:p>
    <w:p>
      <w:pPr>
        <w:tabs>
          <w:tab w:val="left" w:pos="5580"/>
        </w:tabs>
        <w:spacing w:line="360" w:lineRule="auto"/>
        <w:rPr>
          <w:rFonts w:hint="eastAsia"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hint="eastAsia"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hint="eastAsia"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hint="eastAsia"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hint="eastAsia"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93" w:name="_Toc14246"/>
      <w:r>
        <w:rPr>
          <w:rFonts w:hint="eastAsia" w:ascii="宋体" w:hAnsi="宋体" w:eastAsia="宋体"/>
          <w:sz w:val="21"/>
          <w:szCs w:val="21"/>
        </w:rPr>
        <w:t>附件9 详细的实施方案</w:t>
      </w:r>
      <w:bookmarkEnd w:id="490"/>
      <w:bookmarkEnd w:id="491"/>
      <w:bookmarkEnd w:id="492"/>
      <w:bookmarkEnd w:id="493"/>
    </w:p>
    <w:bookmarkEnd w:id="488"/>
    <w:p>
      <w:pPr>
        <w:spacing w:before="50" w:after="50" w:line="360" w:lineRule="auto"/>
        <w:jc w:val="center"/>
      </w:pPr>
      <w:bookmarkStart w:id="494" w:name="_Toc219175639"/>
      <w:bookmarkStart w:id="495" w:name="_Toc220229434"/>
      <w:bookmarkStart w:id="496" w:name="_Toc218935355"/>
      <w:bookmarkStart w:id="497" w:name="_Toc216582826"/>
      <w:bookmarkStart w:id="498" w:name="_Toc29240313"/>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hint="eastAsia" w:ascii="宋体" w:hAnsi="宋体" w:eastAsia="宋体"/>
          <w:sz w:val="21"/>
          <w:szCs w:val="21"/>
        </w:rPr>
      </w:pPr>
      <w:bookmarkStart w:id="499" w:name="_Toc77629052"/>
      <w:bookmarkStart w:id="500" w:name="_Toc77628972"/>
      <w:r>
        <w:rPr>
          <w:rFonts w:hint="eastAsia" w:ascii="宋体" w:hAnsi="宋体" w:eastAsia="宋体"/>
          <w:sz w:val="21"/>
          <w:szCs w:val="21"/>
        </w:rPr>
        <w:br w:type="page"/>
      </w:r>
      <w:bookmarkStart w:id="501" w:name="_Toc18456"/>
      <w:r>
        <w:rPr>
          <w:rFonts w:hint="eastAsia" w:ascii="宋体" w:hAnsi="宋体" w:eastAsia="宋体"/>
          <w:sz w:val="21"/>
          <w:szCs w:val="21"/>
        </w:rPr>
        <w:t>附件10 售后服务方案及承诺</w:t>
      </w:r>
      <w:bookmarkEnd w:id="499"/>
      <w:bookmarkEnd w:id="500"/>
      <w:bookmarkEnd w:id="501"/>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hint="eastAsia" w:ascii="宋体" w:hAnsi="宋体"/>
          <w:szCs w:val="21"/>
        </w:rPr>
      </w:pPr>
      <w:r>
        <w:rPr>
          <w:rFonts w:hint="eastAsia" w:ascii="宋体" w:hAnsi="宋体"/>
          <w:szCs w:val="21"/>
        </w:rPr>
        <w:br w:type="page"/>
      </w:r>
      <w:bookmarkStart w:id="502" w:name="_Toc77628973"/>
      <w:bookmarkStart w:id="503" w:name="_Toc77629053"/>
    </w:p>
    <w:p>
      <w:pPr>
        <w:tabs>
          <w:tab w:val="left" w:pos="5580"/>
        </w:tabs>
        <w:spacing w:before="120" w:beforeLines="50" w:after="120" w:afterLines="50" w:line="360" w:lineRule="auto"/>
        <w:jc w:val="center"/>
        <w:outlineLvl w:val="1"/>
        <w:rPr>
          <w:rFonts w:hint="eastAsia" w:ascii="宋体" w:hAnsi="宋体"/>
          <w:b/>
          <w:bCs/>
          <w:szCs w:val="21"/>
        </w:rPr>
      </w:pPr>
      <w:bookmarkStart w:id="504" w:name="_Toc25219"/>
      <w:r>
        <w:rPr>
          <w:rFonts w:hint="eastAsia" w:ascii="宋体" w:hAnsi="宋体"/>
          <w:b/>
          <w:bCs/>
          <w:szCs w:val="21"/>
        </w:rPr>
        <w:t>附件11 投标人认为需要提供的其它材料</w:t>
      </w:r>
      <w:bookmarkEnd w:id="502"/>
      <w:bookmarkEnd w:id="503"/>
      <w:bookmarkEnd w:id="504"/>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9" w:type="default"/>
          <w:footerReference r:id="rId10" w:type="default"/>
          <w:pgSz w:w="11906" w:h="16838"/>
          <w:pgMar w:top="1440" w:right="1080" w:bottom="1440" w:left="1080" w:header="454" w:footer="624" w:gutter="284"/>
          <w:cols w:space="720" w:num="1"/>
          <w:docGrid w:linePitch="319" w:charSpace="0"/>
        </w:sectPr>
      </w:pPr>
    </w:p>
    <w:bookmarkEnd w:id="494"/>
    <w:bookmarkEnd w:id="495"/>
    <w:bookmarkEnd w:id="496"/>
    <w:bookmarkEnd w:id="497"/>
    <w:bookmarkEnd w:id="498"/>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05" w:name="_Toc30380"/>
      <w:bookmarkStart w:id="506" w:name="_Toc77628974"/>
      <w:bookmarkStart w:id="507" w:name="_Toc77629054"/>
      <w:bookmarkStart w:id="508" w:name="_Toc77628638"/>
      <w:bookmarkStart w:id="509" w:name="_Toc29240314"/>
      <w:bookmarkStart w:id="510" w:name="_Toc77628639"/>
      <w:bookmarkStart w:id="511" w:name="_Toc77628975"/>
      <w:bookmarkStart w:id="512" w:name="_Toc77629055"/>
      <w:r>
        <w:rPr>
          <w:rFonts w:hint="eastAsia" w:ascii="宋体" w:hAnsi="宋体"/>
          <w:b/>
          <w:bCs/>
          <w:sz w:val="24"/>
        </w:rPr>
        <w:t>第五章 评标方法和标准</w:t>
      </w:r>
      <w:bookmarkEnd w:id="505"/>
      <w:bookmarkEnd w:id="506"/>
      <w:bookmarkEnd w:id="507"/>
      <w:bookmarkEnd w:id="508"/>
    </w:p>
    <w:p>
      <w:pPr>
        <w:pStyle w:val="2"/>
        <w:spacing w:after="0" w:line="360" w:lineRule="auto"/>
        <w:ind w:firstLine="420" w:firstLineChars="200"/>
        <w:rPr>
          <w:rFonts w:hint="eastAsia"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hint="eastAsia"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rPr>
            </w:pPr>
            <w:r>
              <w:rPr>
                <w:rFonts w:hint="eastAsia" w:ascii="宋体" w:hAnsi="宋体" w:cs="宋体"/>
                <w:b/>
                <w:szCs w:val="21"/>
              </w:rPr>
              <w:t>条款号</w:t>
            </w:r>
          </w:p>
        </w:tc>
        <w:tc>
          <w:tcPr>
            <w:tcW w:w="1819" w:type="dxa"/>
            <w:vAlign w:val="center"/>
          </w:tcPr>
          <w:p>
            <w:pPr>
              <w:jc w:val="center"/>
              <w:rPr>
                <w:rFonts w:hint="eastAsia" w:ascii="宋体" w:hAnsi="宋体" w:cs="宋体"/>
                <w:b/>
                <w:szCs w:val="21"/>
              </w:rPr>
            </w:pPr>
            <w:r>
              <w:rPr>
                <w:rFonts w:hint="eastAsia" w:ascii="宋体" w:hAnsi="宋体" w:cs="宋体"/>
                <w:b/>
                <w:szCs w:val="21"/>
              </w:rPr>
              <w:t>评审因素</w:t>
            </w:r>
          </w:p>
        </w:tc>
        <w:tc>
          <w:tcPr>
            <w:tcW w:w="6208" w:type="dxa"/>
            <w:vAlign w:val="center"/>
          </w:tcPr>
          <w:p>
            <w:pPr>
              <w:jc w:val="center"/>
              <w:rPr>
                <w:rFonts w:hint="eastAsia"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1</w:t>
            </w:r>
          </w:p>
        </w:tc>
        <w:tc>
          <w:tcPr>
            <w:tcW w:w="756" w:type="dxa"/>
            <w:vAlign w:val="center"/>
          </w:tcPr>
          <w:p>
            <w:pPr>
              <w:jc w:val="center"/>
              <w:rPr>
                <w:rFonts w:hint="eastAsia" w:ascii="宋体" w:hAnsi="宋体" w:cs="宋体"/>
                <w:bCs/>
                <w:szCs w:val="21"/>
              </w:rPr>
            </w:pPr>
            <w:r>
              <w:rPr>
                <w:rFonts w:hint="eastAsia" w:ascii="宋体" w:hAnsi="宋体" w:cs="宋体"/>
                <w:bCs/>
                <w:szCs w:val="21"/>
              </w:rPr>
              <w:t>评标方法</w:t>
            </w:r>
          </w:p>
        </w:tc>
        <w:tc>
          <w:tcPr>
            <w:tcW w:w="1819" w:type="dxa"/>
            <w:vAlign w:val="center"/>
          </w:tcPr>
          <w:p>
            <w:pPr>
              <w:jc w:val="center"/>
              <w:rPr>
                <w:rFonts w:hint="eastAsia"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hint="eastAsia"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投标人名称</w:t>
            </w:r>
          </w:p>
        </w:tc>
        <w:tc>
          <w:tcPr>
            <w:tcW w:w="6208" w:type="dxa"/>
            <w:vAlign w:val="center"/>
          </w:tcPr>
          <w:p>
            <w:pPr>
              <w:jc w:val="left"/>
              <w:rPr>
                <w:rFonts w:hint="eastAsia"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hint="eastAsia"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投标文件格式</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联合体投标人</w:t>
            </w:r>
          </w:p>
        </w:tc>
        <w:tc>
          <w:tcPr>
            <w:tcW w:w="6208" w:type="dxa"/>
            <w:vAlign w:val="center"/>
          </w:tcPr>
          <w:p>
            <w:pPr>
              <w:jc w:val="left"/>
              <w:rPr>
                <w:rFonts w:hint="eastAsia"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备选方案</w:t>
            </w:r>
          </w:p>
        </w:tc>
        <w:tc>
          <w:tcPr>
            <w:tcW w:w="6208" w:type="dxa"/>
            <w:vAlign w:val="center"/>
          </w:tcPr>
          <w:p>
            <w:pPr>
              <w:jc w:val="left"/>
              <w:rPr>
                <w:rFonts w:hint="eastAsia"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资格条件</w:t>
            </w:r>
          </w:p>
        </w:tc>
        <w:tc>
          <w:tcPr>
            <w:tcW w:w="6208" w:type="dxa"/>
            <w:vAlign w:val="center"/>
          </w:tcPr>
          <w:p>
            <w:pPr>
              <w:rPr>
                <w:rFonts w:hint="eastAsia"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投标报价</w:t>
            </w:r>
          </w:p>
        </w:tc>
        <w:tc>
          <w:tcPr>
            <w:tcW w:w="6208" w:type="dxa"/>
            <w:vAlign w:val="center"/>
          </w:tcPr>
          <w:p>
            <w:pPr>
              <w:jc w:val="left"/>
              <w:rPr>
                <w:rFonts w:hint="eastAsia"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投标有效期</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保证金</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商务条款</w:t>
            </w:r>
          </w:p>
        </w:tc>
        <w:tc>
          <w:tcPr>
            <w:tcW w:w="6208" w:type="dxa"/>
            <w:vAlign w:val="center"/>
          </w:tcPr>
          <w:p>
            <w:pPr>
              <w:jc w:val="left"/>
              <w:rPr>
                <w:rFonts w:hint="eastAsia"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技术条款</w:t>
            </w:r>
          </w:p>
        </w:tc>
        <w:tc>
          <w:tcPr>
            <w:tcW w:w="6208" w:type="dxa"/>
            <w:vAlign w:val="center"/>
          </w:tcPr>
          <w:p>
            <w:pPr>
              <w:jc w:val="left"/>
              <w:rPr>
                <w:rFonts w:hint="eastAsia"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其他条款</w:t>
            </w:r>
          </w:p>
        </w:tc>
        <w:tc>
          <w:tcPr>
            <w:tcW w:w="6208" w:type="dxa"/>
            <w:vAlign w:val="center"/>
          </w:tcPr>
          <w:p>
            <w:pPr>
              <w:jc w:val="left"/>
              <w:rPr>
                <w:rFonts w:hint="eastAsia"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2.2.1</w:t>
            </w:r>
          </w:p>
        </w:tc>
        <w:tc>
          <w:tcPr>
            <w:tcW w:w="1819" w:type="dxa"/>
            <w:vAlign w:val="center"/>
          </w:tcPr>
          <w:p>
            <w:pPr>
              <w:jc w:val="center"/>
              <w:rPr>
                <w:rFonts w:hint="eastAsia" w:ascii="宋体" w:hAnsi="宋体" w:cs="宋体"/>
                <w:bCs/>
                <w:szCs w:val="21"/>
              </w:rPr>
            </w:pPr>
            <w:r>
              <w:rPr>
                <w:rFonts w:hint="eastAsia" w:ascii="宋体" w:hAnsi="宋体" w:cs="宋体"/>
                <w:bCs/>
                <w:szCs w:val="21"/>
              </w:rPr>
              <w:t>分值构成</w:t>
            </w:r>
          </w:p>
          <w:p>
            <w:pPr>
              <w:jc w:val="center"/>
              <w:rPr>
                <w:rFonts w:hint="eastAsia" w:ascii="宋体" w:hAnsi="宋体" w:cs="宋体"/>
                <w:bCs/>
                <w:szCs w:val="21"/>
              </w:rPr>
            </w:pPr>
            <w:r>
              <w:rPr>
                <w:rFonts w:hint="eastAsia" w:ascii="宋体" w:hAnsi="宋体" w:cs="宋体"/>
                <w:bCs/>
                <w:szCs w:val="21"/>
              </w:rPr>
              <w:t>（总分100分）</w:t>
            </w:r>
          </w:p>
        </w:tc>
        <w:tc>
          <w:tcPr>
            <w:tcW w:w="6208" w:type="dxa"/>
            <w:vAlign w:val="center"/>
          </w:tcPr>
          <w:p>
            <w:pPr>
              <w:rPr>
                <w:rFonts w:hint="eastAsia"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2.2.2</w:t>
            </w:r>
          </w:p>
        </w:tc>
        <w:tc>
          <w:tcPr>
            <w:tcW w:w="1819" w:type="dxa"/>
            <w:vAlign w:val="center"/>
          </w:tcPr>
          <w:p>
            <w:pPr>
              <w:jc w:val="center"/>
              <w:rPr>
                <w:rFonts w:hint="eastAsia"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hint="eastAsia"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hint="eastAsia"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hint="eastAsia"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生产商的产能、供应链管理能力。</w:t>
            </w:r>
          </w:p>
          <w:p>
            <w:pPr>
              <w:widowControl/>
              <w:textAlignment w:val="center"/>
              <w:rPr>
                <w:rFonts w:hint="eastAsia"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技术部分评分标准</w:t>
            </w:r>
          </w:p>
        </w:tc>
        <w:tc>
          <w:tcPr>
            <w:tcW w:w="1819" w:type="dxa"/>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技 术 指 标（含资质完整性与合规性及类似项目经验）（30分）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具备国家认证认可的 CMA和 CNAS资质，且认证范围覆盖招标项目检测需求，每项得5分；超出招标需求范围的额外资质每项加 5 分（最多加5分）。</w:t>
            </w:r>
          </w:p>
          <w:p>
            <w:pPr>
              <w:widowControl/>
              <w:textAlignment w:val="center"/>
              <w:rPr>
                <w:rFonts w:hint="eastAsia" w:ascii="宋体" w:hAnsi="宋体" w:cs="宋体"/>
                <w:kern w:val="0"/>
                <w:szCs w:val="21"/>
              </w:rPr>
            </w:pPr>
            <w:r>
              <w:rPr>
                <w:rFonts w:hint="eastAsia" w:ascii="宋体" w:hAnsi="宋体" w:cs="宋体"/>
                <w:szCs w:val="21"/>
              </w:rPr>
              <w:t>近 3 年承担过 同类项目（如同行业、同规模检测项目），每个项目提供合同关键页及检测报告首页，每项得5分；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top"/>
              <w:rPr>
                <w:rFonts w:hint="eastAsia" w:ascii="宋体" w:hAnsi="宋体" w:cs="宋体"/>
                <w:kern w:val="0"/>
                <w:szCs w:val="21"/>
                <w:lang w:bidi="ar"/>
              </w:rPr>
            </w:pPr>
            <w:r>
              <w:rPr>
                <w:rFonts w:hint="eastAsia" w:ascii="宋体" w:hAnsi="宋体" w:cs="宋体"/>
                <w:kern w:val="0"/>
                <w:szCs w:val="21"/>
                <w:lang w:bidi="ar"/>
              </w:rPr>
              <w:t>人员配置（10分）</w:t>
            </w:r>
          </w:p>
        </w:tc>
        <w:tc>
          <w:tcPr>
            <w:tcW w:w="6208" w:type="dxa"/>
            <w:vAlign w:val="center"/>
          </w:tcPr>
          <w:p>
            <w:pPr>
              <w:pStyle w:val="80"/>
              <w:spacing w:after="0" w:afterLines="0" w:line="240" w:lineRule="auto"/>
              <w:ind w:firstLine="0" w:firstLineChars="0"/>
              <w:rPr>
                <w:rFonts w:hint="eastAsia" w:ascii="宋体" w:hAnsi="宋体" w:eastAsia="宋体"/>
                <w:sz w:val="21"/>
                <w:szCs w:val="21"/>
                <w:lang w:val="en-US" w:bidi="ar-SA"/>
              </w:rPr>
            </w:pPr>
            <w:r>
              <w:rPr>
                <w:rFonts w:hint="eastAsia" w:ascii="宋体" w:hAnsi="宋体" w:eastAsia="宋体"/>
                <w:sz w:val="21"/>
                <w:szCs w:val="21"/>
                <w:lang w:val="en-US" w:bidi="ar-SA"/>
              </w:rPr>
              <w:t>项目负责人具备高级工程师职称及10年以上检测经验，得4分；检测团队中中级及以上职称人员占比≥50%，得 6 分；每低 10% 扣 1 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质量保证措施（10分）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主要检测设备为近5年购置且符合最新国家标准，得 3 分；设备配备完整覆盖检测需求，得2分；设备陈旧或关键设备缺失，每项扣 1 分，扣完为止。</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投标文件中明确检测流程（样品管理、数据处理、报告审核等），得 3 分；制定检测过程风险控制措施（如数据异常处理、结果复核机制），得 2 分；流程不清晰或无风险控制措施，每项扣 2 分。</w:t>
            </w:r>
          </w:p>
          <w:p>
            <w:pPr>
              <w:pStyle w:val="80"/>
              <w:spacing w:after="0" w:afterLines="0" w:line="240" w:lineRule="auto"/>
              <w:ind w:firstLine="0" w:firstLineChars="0"/>
              <w:rPr>
                <w:rFonts w:hint="eastAsia" w:ascii="宋体" w:hAnsi="宋体" w:eastAsia="宋体"/>
                <w:kern w:val="0"/>
                <w:sz w:val="21"/>
                <w:szCs w:val="21"/>
                <w:lang w:val="en-U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售后服务内容与计划（10分）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承诺接到检测任务后响应最短，得3分；其次得2分，以此类推；</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承诺出具初稿报告时间最短，得3分；其次得2分，以此类推；</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提供检测数据统计分析、问题整改建议等增值服务或应急方案的每项得2分，（最多加4分）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hint="eastAsia"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评标价格分数=（评标基准价/投标报价）×价格权重（30%）×100</w:t>
            </w:r>
          </w:p>
          <w:p>
            <w:pPr>
              <w:rPr>
                <w:rFonts w:hint="eastAsia"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13" w:name="_Toc31714"/>
      <w:r>
        <w:rPr>
          <w:rFonts w:hint="eastAsia" w:ascii="宋体" w:hAnsi="宋体"/>
          <w:b/>
          <w:bCs/>
          <w:sz w:val="24"/>
        </w:rPr>
        <w:t xml:space="preserve">第六章 </w:t>
      </w:r>
      <w:bookmarkEnd w:id="509"/>
      <w:r>
        <w:rPr>
          <w:rFonts w:hint="eastAsia" w:ascii="宋体" w:hAnsi="宋体"/>
          <w:b/>
          <w:bCs/>
          <w:sz w:val="24"/>
        </w:rPr>
        <w:t>货物需求一览表及技术要求</w:t>
      </w:r>
      <w:bookmarkEnd w:id="510"/>
      <w:bookmarkEnd w:id="511"/>
      <w:bookmarkEnd w:id="512"/>
      <w:bookmarkEnd w:id="513"/>
    </w:p>
    <w:p>
      <w:pPr>
        <w:spacing w:before="120" w:beforeLines="50" w:after="120" w:afterLines="50" w:line="360" w:lineRule="auto"/>
        <w:outlineLvl w:val="1"/>
        <w:rPr>
          <w:rFonts w:hint="eastAsia" w:ascii="宋体" w:hAnsi="宋体"/>
          <w:b/>
          <w:kern w:val="0"/>
          <w:szCs w:val="21"/>
        </w:rPr>
      </w:pPr>
      <w:bookmarkStart w:id="514" w:name="_Toc32235246"/>
      <w:bookmarkStart w:id="515" w:name="_Toc77628640"/>
      <w:bookmarkStart w:id="516" w:name="_Toc77629056"/>
      <w:bookmarkStart w:id="517" w:name="_Toc77628976"/>
      <w:bookmarkStart w:id="518" w:name="_Toc9053"/>
      <w:bookmarkStart w:id="519" w:name="_Toc73707880"/>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4"/>
      <w:bookmarkEnd w:id="515"/>
      <w:bookmarkEnd w:id="516"/>
      <w:bookmarkEnd w:id="517"/>
      <w:bookmarkEnd w:id="518"/>
      <w:bookmarkEnd w:id="519"/>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jc w:val="center"/>
        </w:trPr>
        <w:tc>
          <w:tcPr>
            <w:tcW w:w="638" w:type="dxa"/>
            <w:vAlign w:val="center"/>
          </w:tcPr>
          <w:p>
            <w:pPr>
              <w:widowControl/>
              <w:jc w:val="center"/>
              <w:rPr>
                <w:rFonts w:hint="eastAsia"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hint="eastAsia"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hint="eastAsia"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hint="eastAsia"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hint="eastAsia"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eastAsia" w:ascii="宋体" w:hAnsi="宋体"/>
                <w:szCs w:val="21"/>
              </w:rPr>
            </w:pPr>
            <w:r>
              <w:rPr>
                <w:rFonts w:hint="eastAsia" w:ascii="宋体" w:hAnsi="宋体"/>
                <w:szCs w:val="21"/>
              </w:rPr>
              <w:t>第三方检测</w:t>
            </w:r>
          </w:p>
        </w:tc>
        <w:tc>
          <w:tcPr>
            <w:tcW w:w="1234" w:type="dxa"/>
            <w:vAlign w:val="center"/>
          </w:tcPr>
          <w:p>
            <w:pPr>
              <w:spacing w:line="360" w:lineRule="auto"/>
              <w:jc w:val="center"/>
              <w:rPr>
                <w:rFonts w:hint="eastAsia"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cs="宋体"/>
                <w:kern w:val="0"/>
                <w:szCs w:val="21"/>
              </w:rPr>
            </w:pPr>
            <w:r>
              <w:rPr>
                <w:rFonts w:hint="eastAsia" w:ascii="宋体" w:hAnsi="宋体" w:cs="宋体"/>
                <w:kern w:val="0"/>
                <w:szCs w:val="21"/>
              </w:rPr>
              <w:t>套</w:t>
            </w:r>
          </w:p>
        </w:tc>
        <w:tc>
          <w:tcPr>
            <w:tcW w:w="2272" w:type="dxa"/>
            <w:vAlign w:val="center"/>
          </w:tcPr>
          <w:p>
            <w:pPr>
              <w:widowControl/>
              <w:jc w:val="center"/>
              <w:rPr>
                <w:rFonts w:hint="eastAsia"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hint="eastAsia"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hint="eastAsia" w:ascii="宋体" w:hAnsi="宋体"/>
          <w:b/>
          <w:kern w:val="0"/>
          <w:sz w:val="22"/>
          <w:szCs w:val="22"/>
        </w:rPr>
      </w:pPr>
      <w:bookmarkStart w:id="520" w:name="_Toc77628977"/>
      <w:bookmarkStart w:id="521" w:name="_Toc77629057"/>
      <w:bookmarkStart w:id="522" w:name="_Toc21254"/>
      <w:bookmarkStart w:id="523" w:name="_Toc77628641"/>
      <w:r>
        <w:rPr>
          <w:rFonts w:hint="eastAsia" w:ascii="宋体" w:hAnsi="宋体"/>
          <w:b/>
          <w:kern w:val="0"/>
          <w:sz w:val="22"/>
          <w:szCs w:val="22"/>
        </w:rPr>
        <w:t>技术要求</w:t>
      </w:r>
      <w:bookmarkEnd w:id="520"/>
      <w:bookmarkEnd w:id="521"/>
      <w:bookmarkEnd w:id="522"/>
      <w:bookmarkEnd w:id="523"/>
    </w:p>
    <w:p>
      <w:pPr>
        <w:spacing w:line="500" w:lineRule="exact"/>
        <w:jc w:val="center"/>
        <w:rPr>
          <w:rFonts w:hint="eastAsia" w:ascii="宋体" w:hAnsi="宋体"/>
          <w:b/>
          <w:bCs/>
          <w:sz w:val="24"/>
        </w:rPr>
      </w:pPr>
      <w:bookmarkStart w:id="524" w:name="_Toc114916857"/>
      <w:bookmarkStart w:id="525" w:name="_Toc114371486"/>
      <w:bookmarkStart w:id="526" w:name="_Toc58665088"/>
      <w:bookmarkStart w:id="527" w:name="_Toc114375827"/>
      <w:bookmarkStart w:id="528" w:name="_Toc114916918"/>
      <w:bookmarkStart w:id="529" w:name="_Toc112752858"/>
      <w:bookmarkStart w:id="530" w:name="_Toc114371637"/>
      <w:bookmarkStart w:id="531" w:name="_Toc114376961"/>
      <w:bookmarkStart w:id="532" w:name="_Toc114887864"/>
      <w:bookmarkStart w:id="533" w:name="_Toc78098298"/>
      <w:r>
        <w:rPr>
          <w:rFonts w:hint="eastAsia" w:ascii="宋体" w:hAnsi="宋体"/>
          <w:b/>
          <w:bCs/>
          <w:sz w:val="24"/>
        </w:rPr>
        <w:t>用户需求</w:t>
      </w:r>
    </w:p>
    <w:p>
      <w:pPr>
        <w:pStyle w:val="2"/>
      </w:pPr>
      <w:r>
        <w:rPr>
          <w:rFonts w:hint="eastAsia" w:ascii="宋体" w:hAnsi="宋体"/>
          <w:b/>
          <w:bCs/>
          <w:sz w:val="24"/>
        </w:rPr>
        <w:t>1、目的</w:t>
      </w:r>
    </w:p>
    <w:bookmarkEnd w:id="524"/>
    <w:bookmarkEnd w:id="525"/>
    <w:bookmarkEnd w:id="526"/>
    <w:bookmarkEnd w:id="527"/>
    <w:bookmarkEnd w:id="528"/>
    <w:bookmarkEnd w:id="529"/>
    <w:bookmarkEnd w:id="530"/>
    <w:bookmarkEnd w:id="531"/>
    <w:bookmarkEnd w:id="532"/>
    <w:bookmarkEnd w:id="533"/>
    <w:p>
      <w:pPr>
        <w:pStyle w:val="15"/>
        <w:numPr>
          <w:ilvl w:val="0"/>
          <w:numId w:val="11"/>
        </w:numPr>
      </w:pPr>
      <w:r>
        <w:rPr>
          <w:rFonts w:hint="eastAsia"/>
        </w:rPr>
        <w:t>本URS描述了农业部对兽用生物制品企业进行GMP验收要求的具备相应检测资质的第三方对我公司厂房、洁净室、洁净设施所进行的各项洁净检测项目并最终出具合格报告；</w:t>
      </w:r>
    </w:p>
    <w:p>
      <w:pPr>
        <w:pStyle w:val="15"/>
        <w:numPr>
          <w:ilvl w:val="0"/>
          <w:numId w:val="11"/>
        </w:numPr>
      </w:pPr>
      <w:r>
        <w:rPr>
          <w:rFonts w:hint="eastAsia"/>
        </w:rPr>
        <w:t>第三方服务商应对本URS的所有章节进行充分确认，对相关技术信息与我方进行充分沟通，确保能够遵循和满足本URS的要求，双方最终确认的URS将作为合同的技术要求部分，以要求第三方服务商完成洁净检测服务作为通过GMP验收的先决条件之一。</w:t>
      </w:r>
    </w:p>
    <w:p>
      <w:pPr>
        <w:pStyle w:val="2"/>
        <w:rPr>
          <w:rFonts w:hint="eastAsia" w:ascii="宋体" w:hAnsi="宋体"/>
          <w:b/>
          <w:bCs/>
          <w:sz w:val="24"/>
        </w:rPr>
      </w:pPr>
      <w:bookmarkStart w:id="534" w:name="_Toc28100"/>
      <w:bookmarkStart w:id="535" w:name="_Toc28598"/>
      <w:r>
        <w:rPr>
          <w:rFonts w:hint="eastAsia" w:ascii="宋体" w:hAnsi="宋体"/>
          <w:b/>
          <w:bCs/>
          <w:sz w:val="24"/>
        </w:rPr>
        <w:t>2、范围</w:t>
      </w:r>
      <w:bookmarkEnd w:id="534"/>
      <w:bookmarkEnd w:id="535"/>
    </w:p>
    <w:p>
      <w:pPr>
        <w:spacing w:line="360" w:lineRule="auto"/>
      </w:pPr>
      <w:r>
        <w:rPr>
          <w:rFonts w:hint="eastAsia"/>
        </w:rPr>
        <w:t>GMP验收要求的对我公司厂房、洁净室、洁净设施进行的第三方洁净检测。</w:t>
      </w:r>
    </w:p>
    <w:p>
      <w:pPr>
        <w:pStyle w:val="2"/>
        <w:rPr>
          <w:rFonts w:hint="eastAsia" w:ascii="宋体" w:hAnsi="宋体"/>
          <w:b/>
          <w:bCs/>
          <w:sz w:val="24"/>
        </w:rPr>
      </w:pPr>
      <w:bookmarkStart w:id="536" w:name="_Toc26852"/>
      <w:bookmarkStart w:id="537" w:name="_Toc22507"/>
      <w:r>
        <w:rPr>
          <w:rFonts w:hint="eastAsia" w:ascii="宋体" w:hAnsi="宋体"/>
          <w:b/>
          <w:bCs/>
          <w:sz w:val="24"/>
        </w:rPr>
        <w:t>3、定义和缩略语</w:t>
      </w:r>
      <w:bookmarkEnd w:id="536"/>
      <w:bookmarkEnd w:id="537"/>
    </w:p>
    <w:tbl>
      <w:tblPr>
        <w:tblStyle w:val="41"/>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shd w:val="clear" w:color="auto" w:fill="auto"/>
            <w:vAlign w:val="center"/>
          </w:tcPr>
          <w:p>
            <w:pPr>
              <w:jc w:val="center"/>
              <w:rPr>
                <w:b/>
              </w:rPr>
            </w:pPr>
            <w:bookmarkStart w:id="538" w:name="_Toc18809"/>
            <w:r>
              <w:rPr>
                <w:b/>
              </w:rPr>
              <w:t>缩略语</w:t>
            </w:r>
            <w:r>
              <w:rPr>
                <w:rFonts w:hint="eastAsia"/>
                <w:b/>
              </w:rPr>
              <w:t>/术语</w:t>
            </w:r>
          </w:p>
        </w:tc>
        <w:tc>
          <w:tcPr>
            <w:tcW w:w="7205" w:type="dxa"/>
            <w:shd w:val="clear" w:color="auto" w:fill="auto"/>
            <w:vAlign w:val="center"/>
          </w:tcPr>
          <w:p>
            <w:pPr>
              <w:jc w:val="center"/>
              <w:rPr>
                <w:b/>
              </w:rPr>
            </w:pPr>
            <w:r>
              <w:rPr>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pPr>
            <w:r>
              <w:rPr>
                <w:rFonts w:hint="eastAsia"/>
                <w:bCs/>
              </w:rPr>
              <w:t>URS</w:t>
            </w:r>
          </w:p>
        </w:tc>
        <w:tc>
          <w:tcPr>
            <w:tcW w:w="7205" w:type="dxa"/>
            <w:shd w:val="clear" w:color="auto" w:fill="auto"/>
            <w:vAlign w:val="center"/>
          </w:tcPr>
          <w:p>
            <w:pPr>
              <w:jc w:val="center"/>
            </w:pPr>
            <w:r>
              <w:rPr>
                <w:rFonts w:hint="eastAsia"/>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pPr>
            <w:r>
              <w:rPr>
                <w:bCs/>
              </w:rPr>
              <w:t>GMP</w:t>
            </w:r>
          </w:p>
        </w:tc>
        <w:tc>
          <w:tcPr>
            <w:tcW w:w="7205" w:type="dxa"/>
            <w:shd w:val="clear" w:color="auto" w:fill="auto"/>
            <w:vAlign w:val="center"/>
          </w:tcPr>
          <w:p>
            <w:pPr>
              <w:jc w:val="center"/>
            </w:pPr>
            <w:r>
              <w:rPr>
                <w:bCs/>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ISO</w:t>
            </w:r>
          </w:p>
        </w:tc>
        <w:tc>
          <w:tcPr>
            <w:tcW w:w="7205" w:type="dxa"/>
            <w:shd w:val="clear" w:color="auto" w:fill="auto"/>
            <w:vAlign w:val="center"/>
          </w:tcPr>
          <w:p>
            <w:pPr>
              <w:jc w:val="center"/>
              <w:rPr>
                <w:bCs/>
              </w:rPr>
            </w:pPr>
            <w:r>
              <w:rPr>
                <w:bCs/>
              </w:rPr>
              <w:t>International Organization for Standardization    国际标准化组织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SOP</w:t>
            </w:r>
          </w:p>
        </w:tc>
        <w:tc>
          <w:tcPr>
            <w:tcW w:w="7205" w:type="dxa"/>
            <w:shd w:val="clear" w:color="auto" w:fill="auto"/>
            <w:vAlign w:val="center"/>
          </w:tcPr>
          <w:p>
            <w:pPr>
              <w:jc w:val="center"/>
              <w:rPr>
                <w:bCs/>
              </w:rPr>
            </w:pPr>
            <w:r>
              <w:rPr>
                <w:bCs/>
              </w:rPr>
              <w:t>Standard Operating Procedure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CNAS</w:t>
            </w:r>
          </w:p>
        </w:tc>
        <w:tc>
          <w:tcPr>
            <w:tcW w:w="7205" w:type="dxa"/>
            <w:shd w:val="clear" w:color="auto" w:fill="auto"/>
            <w:vAlign w:val="center"/>
          </w:tcPr>
          <w:p>
            <w:pPr>
              <w:shd w:val="clear" w:color="auto" w:fill="FFFFFF"/>
              <w:spacing w:after="60" w:line="330" w:lineRule="atLeast"/>
              <w:jc w:val="center"/>
              <w:rPr>
                <w:bCs/>
              </w:rPr>
            </w:pPr>
            <w:r>
              <w:rPr>
                <w:color w:val="333333"/>
                <w:sz w:val="19"/>
                <w:szCs w:val="19"/>
                <w:shd w:val="clear" w:color="auto" w:fill="FFFFFF"/>
              </w:rPr>
              <w:t xml:space="preserve">China National Accreditation Service for Conformity Assessment  </w:t>
            </w:r>
            <w:r>
              <w:fldChar w:fldCharType="begin"/>
            </w:r>
            <w:r>
              <w:instrText xml:space="preserve"> HYPERLINK "https://www.baidu.com/link?url=8ku5U3FiCucYo1oJJiwexv_IX_rvDWke5hFJ2QrH2Pb9CD_b-reT71B9IEwYjVtYBVRyG4wGSA8nFVZLpZ3E6A9JpAJQwm-HJbG9E6RVx1difUUw4VfNiXUE9JDEW6dDP0jfEXeGgCPR3cpf2hYOQSwSE7mzUJsBOCHS7kTcJQm&amp;wd=&amp;eqid=f9a30774033634260000000567ce779c" \t "https://www.baidu.com/_blank" </w:instrText>
            </w:r>
            <w:r>
              <w:fldChar w:fldCharType="separate"/>
            </w:r>
            <w:r>
              <w:rPr>
                <w:bCs/>
              </w:rPr>
              <w:t>国家实验室认可</w:t>
            </w:r>
            <w:r>
              <w:rPr>
                <w:bCs/>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rFonts w:hint="eastAsia"/>
                <w:bCs/>
              </w:rPr>
              <w:t>CMA</w:t>
            </w:r>
          </w:p>
        </w:tc>
        <w:tc>
          <w:tcPr>
            <w:tcW w:w="7205" w:type="dxa"/>
            <w:shd w:val="clear" w:color="auto" w:fill="auto"/>
            <w:vAlign w:val="center"/>
          </w:tcPr>
          <w:p>
            <w:pPr>
              <w:jc w:val="center"/>
              <w:rPr>
                <w:bCs/>
              </w:rPr>
            </w:pPr>
            <w:r>
              <w:rPr>
                <w:color w:val="333333"/>
                <w:shd w:val="clear" w:color="auto" w:fill="FFFFFF"/>
              </w:rPr>
              <w:t>China Inspection Body and Laboratory Mandatory Approval</w:t>
            </w:r>
            <w:r>
              <w:rPr>
                <w:rFonts w:hint="eastAsia"/>
                <w:color w:val="333333"/>
                <w:shd w:val="clear" w:color="auto" w:fill="FFFFFF"/>
              </w:rPr>
              <w:t xml:space="preserve">  </w:t>
            </w:r>
            <w:r>
              <w:rPr>
                <w:color w:val="333333"/>
                <w:shd w:val="clear" w:color="auto" w:fill="FFFFFF"/>
              </w:rPr>
              <w:t>中国计量认证，又称检验检测机构资质认定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shd w:val="clear" w:color="auto" w:fill="auto"/>
            <w:vAlign w:val="center"/>
          </w:tcPr>
          <w:p>
            <w:pPr>
              <w:jc w:val="center"/>
              <w:rPr>
                <w:bCs/>
              </w:rPr>
            </w:pPr>
            <w:r>
              <w:rPr>
                <w:bCs/>
              </w:rPr>
              <w:t>N/A</w:t>
            </w:r>
          </w:p>
        </w:tc>
        <w:tc>
          <w:tcPr>
            <w:tcW w:w="7205" w:type="dxa"/>
            <w:shd w:val="clear" w:color="auto" w:fill="auto"/>
            <w:vAlign w:val="center"/>
          </w:tcPr>
          <w:p>
            <w:pPr>
              <w:jc w:val="center"/>
              <w:rPr>
                <w:bCs/>
              </w:rPr>
            </w:pPr>
            <w:r>
              <w:rPr>
                <w:bCs/>
              </w:rPr>
              <w:t>Not Applicable    不适用</w:t>
            </w:r>
          </w:p>
        </w:tc>
      </w:tr>
    </w:tbl>
    <w:p>
      <w:pPr>
        <w:pStyle w:val="2"/>
        <w:rPr>
          <w:rFonts w:hint="eastAsia" w:ascii="宋体" w:hAnsi="宋体"/>
          <w:b/>
          <w:bCs/>
          <w:sz w:val="24"/>
        </w:rPr>
      </w:pPr>
      <w:bookmarkStart w:id="539" w:name="_Toc2883"/>
      <w:r>
        <w:rPr>
          <w:rFonts w:hint="eastAsia" w:ascii="宋体" w:hAnsi="宋体"/>
          <w:b/>
          <w:bCs/>
          <w:sz w:val="24"/>
        </w:rPr>
        <w:t>4、参考文件</w:t>
      </w:r>
      <w:bookmarkEnd w:id="539"/>
    </w:p>
    <w:p>
      <w:r>
        <w:rPr>
          <w:rFonts w:hint="eastAsia"/>
        </w:rPr>
        <w:t>《兽药生产质量管理规范（2020年修订）》 中华人民共和国农业农村部令2020年 第3号</w:t>
      </w:r>
    </w:p>
    <w:p>
      <w:pPr>
        <w:pStyle w:val="2"/>
        <w:rPr>
          <w:sz w:val="20"/>
        </w:rPr>
      </w:pPr>
      <w:r>
        <w:rPr>
          <w:rFonts w:hint="eastAsia"/>
          <w:sz w:val="20"/>
        </w:rPr>
        <w:t>《兽药生产质量管理规范（2020年修订）》 指南</w:t>
      </w:r>
    </w:p>
    <w:p>
      <w:pPr>
        <w:pStyle w:val="2"/>
        <w:rPr>
          <w:sz w:val="20"/>
        </w:rPr>
      </w:pPr>
      <w:r>
        <w:rPr>
          <w:rFonts w:hint="eastAsia"/>
          <w:sz w:val="20"/>
        </w:rPr>
        <w:t>《兽药生产质量管理规范检查验收评定标准（2020年修订）》 农办牧〔2020)34 号</w:t>
      </w:r>
    </w:p>
    <w:p>
      <w:r>
        <w:rPr>
          <w:rFonts w:hint="eastAsia"/>
        </w:rPr>
        <w:t>《兽药生产企业洁净区静态检测相关要求》   农业农村部公告 第389号</w:t>
      </w:r>
    </w:p>
    <w:p>
      <w:pPr>
        <w:pStyle w:val="2"/>
        <w:rPr>
          <w:rFonts w:hint="eastAsia" w:ascii="宋体" w:hAnsi="宋体"/>
          <w:b/>
          <w:bCs/>
          <w:sz w:val="24"/>
        </w:rPr>
      </w:pPr>
      <w:bookmarkStart w:id="540" w:name="_Toc10111"/>
      <w:r>
        <w:rPr>
          <w:rFonts w:hint="eastAsia" w:ascii="宋体" w:hAnsi="宋体"/>
          <w:b/>
          <w:bCs/>
          <w:sz w:val="24"/>
        </w:rPr>
        <w:t>5、需求设备/工艺的简单描述</w:t>
      </w:r>
      <w:bookmarkEnd w:id="538"/>
      <w:bookmarkEnd w:id="540"/>
    </w:p>
    <w:p>
      <w:r>
        <w:rPr>
          <w:rFonts w:hint="eastAsia"/>
        </w:rPr>
        <w:t>此次检测依据现行的兽药GMP管理规范及《兽药生产企业洁净区静态检测相关要求》   农业农村部公告 第389号进行，检测范围包含公司活苗车间、灭活苗车间、质检楼检验室的洁净室、空调机组及配套的净化设备设施。</w:t>
      </w:r>
    </w:p>
    <w:p>
      <w:pPr>
        <w:pStyle w:val="2"/>
        <w:rPr>
          <w:rFonts w:hint="eastAsia" w:ascii="宋体" w:hAnsi="宋体"/>
          <w:b/>
          <w:bCs/>
          <w:sz w:val="24"/>
        </w:rPr>
      </w:pPr>
      <w:bookmarkStart w:id="541" w:name="_Toc14542"/>
      <w:bookmarkStart w:id="542" w:name="_Toc19698"/>
      <w:r>
        <w:rPr>
          <w:rFonts w:hint="eastAsia" w:ascii="宋体" w:hAnsi="宋体"/>
          <w:b/>
          <w:bCs/>
          <w:sz w:val="24"/>
        </w:rPr>
        <w:t>6、技术规格</w:t>
      </w:r>
      <w:bookmarkEnd w:id="541"/>
      <w:bookmarkEnd w:id="542"/>
    </w:p>
    <w:p>
      <w:pPr>
        <w:pStyle w:val="4"/>
        <w:rPr>
          <w:rFonts w:hint="eastAsia" w:ascii="宋体" w:hAnsi="宋体" w:eastAsia="宋体"/>
          <w:sz w:val="24"/>
          <w:szCs w:val="24"/>
        </w:rPr>
      </w:pPr>
      <w:bookmarkStart w:id="543" w:name="_Toc22351"/>
      <w:r>
        <w:rPr>
          <w:rFonts w:hint="eastAsia" w:ascii="宋体" w:hAnsi="宋体" w:eastAsia="宋体"/>
          <w:sz w:val="24"/>
          <w:szCs w:val="24"/>
        </w:rPr>
        <w:t>6.1 需检测洁净厂房、洁净室、洁净设施清单</w:t>
      </w:r>
      <w:bookmarkEnd w:id="543"/>
    </w:p>
    <w:tbl>
      <w:tblPr>
        <w:tblStyle w:val="41"/>
        <w:tblW w:w="9178" w:type="dxa"/>
        <w:tblInd w:w="93" w:type="dxa"/>
        <w:tblLayout w:type="fixed"/>
        <w:tblCellMar>
          <w:top w:w="0" w:type="dxa"/>
          <w:left w:w="108" w:type="dxa"/>
          <w:bottom w:w="0" w:type="dxa"/>
          <w:right w:w="108" w:type="dxa"/>
        </w:tblCellMar>
      </w:tblPr>
      <w:tblGrid>
        <w:gridCol w:w="1365"/>
        <w:gridCol w:w="2010"/>
        <w:gridCol w:w="3736"/>
        <w:gridCol w:w="2067"/>
      </w:tblGrid>
      <w:tr>
        <w:tblPrEx>
          <w:tblCellMar>
            <w:top w:w="0" w:type="dxa"/>
            <w:left w:w="108" w:type="dxa"/>
            <w:bottom w:w="0" w:type="dxa"/>
            <w:right w:w="108" w:type="dxa"/>
          </w:tblCellMar>
        </w:tblPrEx>
        <w:trPr>
          <w:trHeight w:val="255" w:hRule="atLeast"/>
        </w:trPr>
        <w:tc>
          <w:tcPr>
            <w:tcW w:w="13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车间</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区域</w:t>
            </w:r>
            <w:r>
              <w:rPr>
                <w:rStyle w:val="179"/>
                <w:lang w:bidi="ar"/>
              </w:rPr>
              <w:t>/</w:t>
            </w:r>
            <w:r>
              <w:rPr>
                <w:rStyle w:val="99"/>
                <w:rFonts w:hint="default"/>
                <w:lang w:bidi="ar"/>
              </w:rPr>
              <w:t>设施</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拟检测项目</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数量</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活苗车间</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17</w:t>
            </w:r>
            <w:r>
              <w:rPr>
                <w:rStyle w:val="99"/>
                <w:rFonts w:hint="default"/>
                <w:lang w:bidi="ar"/>
              </w:rPr>
              <w:t>间</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63</w:t>
            </w:r>
            <w:r>
              <w:rPr>
                <w:rStyle w:val="99"/>
                <w:rFonts w:hint="default"/>
                <w:lang w:bidi="ar"/>
              </w:rPr>
              <w:t>间</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21</w:t>
            </w:r>
            <w:r>
              <w:rPr>
                <w:rStyle w:val="99"/>
                <w:rFonts w:hint="default"/>
                <w:lang w:bidi="ar"/>
              </w:rPr>
              <w:t>间</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9</w:t>
            </w:r>
            <w:r>
              <w:rPr>
                <w:rStyle w:val="99"/>
                <w:rFonts w:hint="default"/>
                <w:lang w:bidi="ar"/>
              </w:rPr>
              <w:t>块</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14</w:t>
            </w:r>
            <w:r>
              <w:rPr>
                <w:rStyle w:val="99"/>
                <w:rFonts w:hint="default"/>
                <w:lang w:bidi="ar"/>
              </w:rPr>
              <w:t>组</w:t>
            </w:r>
          </w:p>
        </w:tc>
      </w:tr>
      <w:tr>
        <w:tblPrEx>
          <w:tblCellMar>
            <w:top w:w="0" w:type="dxa"/>
            <w:left w:w="108" w:type="dxa"/>
            <w:bottom w:w="0" w:type="dxa"/>
            <w:right w:w="108" w:type="dxa"/>
          </w:tblCellMar>
        </w:tblPrEx>
        <w:trPr>
          <w:trHeight w:val="133"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10</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GMP综合车间一层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12</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57</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20</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7</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9</w:t>
            </w:r>
          </w:p>
        </w:tc>
      </w:tr>
      <w:tr>
        <w:tblPrEx>
          <w:tblCellMar>
            <w:top w:w="0" w:type="dxa"/>
            <w:left w:w="108" w:type="dxa"/>
            <w:bottom w:w="0" w:type="dxa"/>
            <w:right w:w="108" w:type="dxa"/>
          </w:tblCellMar>
        </w:tblPrEx>
        <w:trPr>
          <w:trHeight w:val="251"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3</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GMP综合车间二层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14</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78</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24</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6</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8</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6</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80" w:hRule="atLeast"/>
        </w:trPr>
        <w:tc>
          <w:tcPr>
            <w:tcW w:w="136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宋体" w:hAnsi="宋体" w:cs="宋体"/>
                <w:color w:val="000000"/>
              </w:rPr>
            </w:pPr>
            <w:r>
              <w:rPr>
                <w:rFonts w:hint="eastAsia" w:ascii="宋体" w:hAnsi="宋体" w:cs="宋体"/>
                <w:color w:val="000000"/>
                <w:lang w:bidi="ar"/>
              </w:rPr>
              <w:t>GMP综合车间三层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rPr>
            </w:pPr>
            <w:r>
              <w:rPr>
                <w:rFonts w:hint="eastAsia" w:ascii="宋体" w:hAnsi="宋体" w:cs="宋体"/>
                <w:color w:val="000000"/>
              </w:rPr>
              <w:t>6</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质检楼二层实验室</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49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24</w:t>
            </w:r>
          </w:p>
        </w:tc>
      </w:tr>
      <w:tr>
        <w:tblPrEx>
          <w:tblCellMar>
            <w:top w:w="0" w:type="dxa"/>
            <w:left w:w="108" w:type="dxa"/>
            <w:bottom w:w="0" w:type="dxa"/>
            <w:right w:w="108" w:type="dxa"/>
          </w:tblCellMar>
        </w:tblPrEx>
        <w:trPr>
          <w:trHeight w:val="49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1</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4</w:t>
            </w:r>
          </w:p>
        </w:tc>
      </w:tr>
    </w:tbl>
    <w:p>
      <w:r>
        <w:rPr>
          <w:rFonts w:hint="eastAsia"/>
        </w:rPr>
        <w:t>注：实际检测数量以最终提供的平面净化级别图为准，检测项目参照《兽药生产企业洁净区静态检测相关要求》   农业农村部公告 第389号。</w:t>
      </w:r>
    </w:p>
    <w:p>
      <w:pPr>
        <w:pStyle w:val="4"/>
        <w:rPr>
          <w:rFonts w:hint="eastAsia" w:ascii="宋体" w:hAnsi="宋体" w:eastAsia="宋体"/>
          <w:sz w:val="24"/>
          <w:szCs w:val="24"/>
        </w:rPr>
      </w:pPr>
      <w:r>
        <w:rPr>
          <w:rFonts w:hint="eastAsia" w:ascii="宋体" w:hAnsi="宋体" w:eastAsia="宋体"/>
          <w:sz w:val="24"/>
          <w:szCs w:val="24"/>
        </w:rPr>
        <w:t>6.2 需验证设施清单</w:t>
      </w:r>
    </w:p>
    <w:tbl>
      <w:tblPr>
        <w:tblStyle w:val="41"/>
        <w:tblpPr w:leftFromText="180" w:rightFromText="180" w:vertAnchor="text" w:horzAnchor="page" w:tblpX="1858" w:tblpY="287"/>
        <w:tblOverlap w:val="never"/>
        <w:tblW w:w="4998" w:type="pct"/>
        <w:tblInd w:w="0" w:type="dxa"/>
        <w:shd w:val="clear" w:color="auto" w:fill="FFFFFF" w:themeFill="background1"/>
        <w:tblLayout w:type="autofit"/>
        <w:tblCellMar>
          <w:top w:w="0" w:type="dxa"/>
          <w:left w:w="108" w:type="dxa"/>
          <w:bottom w:w="0" w:type="dxa"/>
          <w:right w:w="108" w:type="dxa"/>
        </w:tblCellMar>
      </w:tblPr>
      <w:tblGrid>
        <w:gridCol w:w="2930"/>
        <w:gridCol w:w="2478"/>
        <w:gridCol w:w="2340"/>
        <w:gridCol w:w="1926"/>
      </w:tblGrid>
      <w:tr>
        <w:tblPrEx>
          <w:shd w:val="clear" w:color="auto" w:fill="FFFFFF" w:themeFill="background1"/>
          <w:tblCellMar>
            <w:top w:w="0" w:type="dxa"/>
            <w:left w:w="108" w:type="dxa"/>
            <w:bottom w:w="0" w:type="dxa"/>
            <w:right w:w="108" w:type="dxa"/>
          </w:tblCellMar>
        </w:tblPrEx>
        <w:trPr>
          <w:trHeight w:val="624"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名称</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温度</w:t>
            </w:r>
          </w:p>
        </w:tc>
        <w:tc>
          <w:tcPr>
            <w:tcW w:w="1209" w:type="pct"/>
            <w:tcBorders>
              <w:top w:val="single" w:color="000000" w:sz="4" w:space="0"/>
              <w:left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面积</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数量</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13号冷冻</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137.0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5号库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6号库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143.0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西门小冷库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10.8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13号冷藏</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140.0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4号库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101.5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7号库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330.0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成品冷库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409.9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抗原存放间</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72.0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冷胚间</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75.2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22.2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冷胚间C209</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冷库C225</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-25℃</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38.8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冷胚间C220</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冷库C435</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10.4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冷库C424</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8.1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暖室</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eastAsia" w:ascii="宋体" w:hAnsi="宋体" w:cs="宋体"/>
                <w:color w:val="000000"/>
                <w:sz w:val="24"/>
              </w:rPr>
            </w:pP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rPr>
                <w:rFonts w:hint="eastAsia" w:ascii="宋体" w:hAnsi="宋体" w:cs="宋体"/>
                <w:color w:val="000000"/>
                <w:sz w:val="24"/>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2</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低温冰箱</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-70℃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rPr>
                <w:rFonts w:hint="eastAsia" w:ascii="宋体" w:hAnsi="宋体" w:cs="宋体"/>
                <w:color w:val="000000"/>
                <w:sz w:val="24"/>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r>
    </w:tbl>
    <w:p>
      <w:pPr>
        <w:pStyle w:val="4"/>
        <w:rPr>
          <w:rFonts w:hint="eastAsia" w:ascii="宋体" w:hAnsi="宋体" w:eastAsia="宋体"/>
          <w:sz w:val="24"/>
          <w:szCs w:val="24"/>
        </w:rPr>
      </w:pPr>
      <w:r>
        <w:rPr>
          <w:rFonts w:hint="eastAsia" w:ascii="宋体" w:hAnsi="宋体" w:eastAsia="宋体"/>
          <w:sz w:val="24"/>
          <w:szCs w:val="24"/>
        </w:rPr>
        <w:t>6.3 洁净检测第三方资质及检测工作要求</w:t>
      </w:r>
    </w:p>
    <w:tbl>
      <w:tblPr>
        <w:tblStyle w:val="4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5925"/>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序号</w:t>
            </w:r>
          </w:p>
        </w:tc>
        <w:tc>
          <w:tcPr>
            <w:tcW w:w="5925" w:type="dxa"/>
            <w:shd w:val="clear" w:color="auto" w:fill="auto"/>
            <w:vAlign w:val="center"/>
          </w:tcPr>
          <w:p>
            <w:pPr>
              <w:pStyle w:val="2"/>
              <w:jc w:val="center"/>
              <w:rPr>
                <w:rFonts w:hint="eastAsia" w:ascii="宋体" w:hAnsi="宋体" w:cs="宋体"/>
                <w:sz w:val="20"/>
              </w:rPr>
            </w:pPr>
            <w:r>
              <w:rPr>
                <w:rFonts w:hint="eastAsia" w:ascii="宋体" w:hAnsi="宋体" w:cs="宋体"/>
                <w:b/>
                <w:sz w:val="20"/>
              </w:rPr>
              <w:t>要求</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必需或期望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URS001</w:t>
            </w:r>
          </w:p>
        </w:tc>
        <w:tc>
          <w:tcPr>
            <w:tcW w:w="5925" w:type="dxa"/>
            <w:shd w:val="clear" w:color="auto" w:fill="auto"/>
            <w:vAlign w:val="center"/>
          </w:tcPr>
          <w:p>
            <w:pPr>
              <w:pStyle w:val="2"/>
              <w:rPr>
                <w:rFonts w:hint="eastAsia" w:ascii="宋体" w:hAnsi="宋体" w:cs="宋体"/>
                <w:sz w:val="20"/>
              </w:rPr>
            </w:pPr>
            <w:r>
              <w:rPr>
                <w:rFonts w:hint="eastAsia" w:ascii="宋体" w:hAnsi="宋体" w:cs="宋体"/>
                <w:color w:val="000000"/>
                <w:sz w:val="20"/>
                <w:shd w:val="clear" w:color="auto" w:fill="FFFFFF"/>
              </w:rPr>
              <w:t>取得国家认证认可监督管理委员会或省级市场监督管理部门颁发的检验检测机构计量认证证书（CMA）或取得中国合格评定国家认可委员会颁发的实验室认可证书（CNAS），并具有附件中洁净室领域检测能力范围的洁净检测机构（以下简称洁净检测机构），在证书有效期内均可开展兽药生产企业洁净区检测工作。</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URS002</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及时向拟开展洁净区检测业务的兽药生产企业所在地省级畜牧兽医主管部门报告，内容包括检测机构简介（含管理体系运行情况、计量标准管理等）、统一社会信用代码证书、计量认证证书或实验室认可证书（含证书附件）复印件等有效证明材料。</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exact"/>
        </w:trPr>
        <w:tc>
          <w:tcPr>
            <w:tcW w:w="1137" w:type="dxa"/>
            <w:shd w:val="clear" w:color="auto" w:fill="auto"/>
            <w:vAlign w:val="center"/>
          </w:tcPr>
          <w:p>
            <w:pPr>
              <w:pStyle w:val="2"/>
              <w:jc w:val="center"/>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URS003</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严格执行兽药GMP、兽用疫苗生产企业生物安全三级防护标准、空气净化检测以及生物安全等相关要求，按照规定的检测项目、检测方法和评价依据，在静态（非生产状态）下对兽药生产企业洁净区进行检测，出具洁净检测报告，确保检测项目完整、检测数据真实准确。要加强内部管理，严禁检测人员未经检测机构安排和未达到相关资质要求开展检测工作。要严格管理原始检测数据（记录），检测记录应有检测人员和核验人员的亲笔签名，并妥善保存6年以上。</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URS004</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加强现场检测活动管理，开展检测前，要根据委托方要求对涉及生物安全活动的场所进行有效消毒，相关人员要做好安全防护。检测过程中，要严格按照规范和标准操作，准确详细记录相关内容。检测结束后，规范出具检测报告，不得对已发出的检测报告进行修改，如确需修改或补充，应出具题为《对编号***检测报告的补充（更正）》的检测报告，对检测结果负责，承担相应责任。要及时将检测报告同时发送兽药生产企业及其所在地省级畜牧兽医主管部门。</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URS005</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洁净检测机构对出具的检测报告负责，同时应对委托方提供交流服务，在委托方后续的现场GMP验收检查过程中协助委托方对现场检查专家提供检测方法及检测结果的交流解答工作支持。</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URS006</w:t>
            </w:r>
          </w:p>
        </w:tc>
        <w:tc>
          <w:tcPr>
            <w:tcW w:w="5925" w:type="dxa"/>
            <w:shd w:val="clear" w:color="auto" w:fill="auto"/>
            <w:vAlign w:val="center"/>
          </w:tcPr>
          <w:p>
            <w:pPr>
              <w:pStyle w:val="2"/>
              <w:rPr>
                <w:rFonts w:hint="eastAsia" w:ascii="宋体" w:hAnsi="宋体" w:cs="宋体"/>
                <w:color w:val="000000"/>
                <w:sz w:val="20"/>
                <w:shd w:val="clear" w:color="auto" w:fill="FFFFFF"/>
              </w:rPr>
            </w:pP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URS007</w:t>
            </w:r>
          </w:p>
        </w:tc>
        <w:tc>
          <w:tcPr>
            <w:tcW w:w="5925" w:type="dxa"/>
            <w:shd w:val="clear" w:color="auto" w:fill="auto"/>
            <w:vAlign w:val="center"/>
          </w:tcPr>
          <w:p>
            <w:pPr>
              <w:pStyle w:val="2"/>
              <w:rPr>
                <w:rFonts w:hint="eastAsia" w:ascii="宋体" w:hAnsi="宋体" w:cs="宋体"/>
                <w:color w:val="000000"/>
                <w:sz w:val="20"/>
                <w:shd w:val="clear" w:color="auto" w:fill="FFFFFF"/>
              </w:rPr>
            </w:pP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bl>
    <w:p>
      <w:pPr>
        <w:spacing w:line="360" w:lineRule="auto"/>
        <w:rPr>
          <w:b/>
          <w:bCs/>
          <w:szCs w:val="21"/>
          <w:lang w:val="en-GB"/>
        </w:rPr>
      </w:pPr>
      <w:r>
        <w:rPr>
          <w:rFonts w:hint="eastAsia" w:ascii="宋体" w:hAnsi="宋体" w:cs="宋体"/>
          <w:b/>
          <w:bCs/>
          <w:szCs w:val="21"/>
        </w:rPr>
        <w:t>备注：*号条款必须满足</w:t>
      </w:r>
      <w:r>
        <w:rPr>
          <w:rFonts w:hint="eastAsia"/>
          <w:b/>
          <w:bCs/>
          <w:szCs w:val="21"/>
          <w:lang w:val="en-GB"/>
        </w:rPr>
        <w:t>。</w:t>
      </w:r>
    </w:p>
    <w:p>
      <w:pPr>
        <w:spacing w:line="360" w:lineRule="auto"/>
        <w:rPr>
          <w:rFonts w:hint="eastAsia" w:ascii="宋体" w:hAnsi="宋体"/>
          <w:b/>
          <w:bCs/>
          <w:sz w:val="24"/>
        </w:rPr>
      </w:pPr>
    </w:p>
    <w:p>
      <w:pPr>
        <w:pStyle w:val="4"/>
        <w:rPr>
          <w:rFonts w:hint="eastAsia" w:ascii="宋体" w:hAnsi="宋体" w:eastAsia="宋体"/>
          <w:sz w:val="24"/>
          <w:szCs w:val="24"/>
        </w:rPr>
      </w:pPr>
      <w:r>
        <w:rPr>
          <w:rFonts w:hint="eastAsia" w:ascii="宋体" w:hAnsi="宋体" w:eastAsia="宋体"/>
          <w:sz w:val="24"/>
          <w:szCs w:val="24"/>
        </w:rPr>
        <w:t>6.4 兽药生产企业洁净区静态检测项目要求</w:t>
      </w:r>
    </w:p>
    <w:tbl>
      <w:tblPr>
        <w:tblStyle w:val="41"/>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38"/>
        <w:gridCol w:w="1062"/>
        <w:gridCol w:w="2863"/>
        <w:gridCol w:w="2612"/>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blHeader/>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序号</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检测项目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检测范围</w:t>
            </w:r>
          </w:p>
        </w:tc>
        <w:tc>
          <w:tcPr>
            <w:tcW w:w="28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检测方法依据</w:t>
            </w:r>
          </w:p>
        </w:tc>
        <w:tc>
          <w:tcPr>
            <w:tcW w:w="26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检测结果评价依据</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适用对象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换气次数</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 ISO 14644-3:2019《洁净室及相关受控环境 第 3 部分：检测方法》附录B.2，或GB/T 25915.3-2010《洁净室及相关受控环境 第 3 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50073-2013《洁净厂房设计规范》条款6.3.3</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兽药正压生产线和非生物安全三级防护类负压生产线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新风量</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50073-2013《洁净厂房设计规范》条款6.1.5，或GB 50457-2019  《医药工业洁净厂房设计标准》条款9.1.4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温度（必测）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第3部分：检测方法》附录B.5，或GB/T 25915.3-2010《洁净室及相关受控环境 第3部分：检测方法》附录B.8.2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50457-2019《医药工业洁净厂房设计标准》条款3.2.4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相对湿度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 3 部分：检测方法》附录B.6，或GB/T 25915.3-2010《洁净室及相关受控环境 第 3 部分：检测方法》附录B.9</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50591-2010《洁净室施工及验收规范》附录E.7</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《医药工业洁净厂房设计标准》条款3.2.6</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50073-2013《洁净厂房设计规范》条款4.4.1，或GB 50457-2019《医药工业洁净厂房设计标准》条款3.2.7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A级区风速（适用时必测）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50591-2010《洁净室施工及验收规范》附录E.1，或ISO 14644-3:2019《洁净室及相关受控环境 第3部分：检测方法》附录B.2，或GB/T 25915.3-2010《洁净室及相关受控环境 第3部分：检测方法》附录B.4，或GB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风速不均匀度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50591-2010《洁净室施工及验收规范》附录E.3，或ISO 14644-3:2019《洁净室及相关受控环境 第 3 部分：检测方法》附录B.2.2.3，或GB/T 25915.3-2010《洁净室及相关受控环境 第 3 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A级区气流流型（适用时必测）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50591-2010《洁净室施工及验收规范》附录E.12，或ISO 14644-3:2019《洁净室及相关受控环境 第 3 部分：检测方法》附录B.3.3，或GB/T 25915.3-2010《洁净室及相关受控环境 第 3 部分：检测方法》附录B.7.3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第九条、第三十三条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50591-2010《洁净室施工及验收规范》附录E.2，或ISO 14644-3:2019《洁净室及相关受控环境 第 3 部分：检测方法》附录B.1.2，或GB/T 25915.3-2010《洁净室及相关受控环境 第 3 部分：检测方法》附录B.5.2，或GB 50073-2013《洁净厂房设计规范》附录A.3.2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农业农村部令2020年第3号《兽药生产质量管理规范（2020年修订）》第四十五条，未涉及部分应满足设计和工艺要求</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悬浮粒子</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50591-2010《洁净室施工及验收规范》附录E.4，或GB/T 16292-2010《医药工业洁净室（区）悬浮粒子的测试方法》，或ISO 14644-3:2019《洁净室及相关受控环境 第3部分：检测方法》条款4.1，或GB/T 25915.1-2010《洁净室及相关受控环境 第 1 部分：空气洁净度等级》附录B，或ISO 14644-1:2015《洁净室及相关受控环境 第 1 部分：空气洁净度等级》附录 A，或GB 50073-2013《洁净厂房设计规范》附录A.3.5</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自净时间</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B级全检、C级主要操作间中换气次数最小房间抽检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50591-2010《洁净室施工及验收规范》附录E.11，或ISO 14644-3:2019 《洁净室及相关受控环境 第3部分：检测方法》附录B.4，或GB/T 25915.3-2010《洁净室及相关受控环境 第 3 部分：检测方法》附录B.12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第十条（七）</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A和B级全检、C和D级抽检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50591-2010《洁净室施工及验收规范》附录D.3，或ISO 14644-3:2019《洁净室及相关受控环境 第 3 部分：检测方法》附录B.7，或GB/T 25915.3-2010《洁净室及相关受控环境 第 3 部分：检测方法》附录B.6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排风高效过滤器检漏</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50591-2010《洁净室施工及验收规范》附录D.3，或GB 50346-2011 《生物安全实验室建筑技术规范》附录D.4，或ISO 14644-3:2019《洁净室及相关受控环境 第 3 部分：检测方法》附录B.7，或GB/T 25915.3-2010《洁净室及相关受控环境 第 3 部分：检测方法》附录B.6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50591-2010《洁净室施工及验收规范》附录D.3.8，或50346-2011 《生物安全实验室建筑技术规范》附录10.1.7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在包含1—14项的同时增加的检测项目或评价依据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生物安全三级防护类生产线及配套活毒废水处理系统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农业部公告第2573号《兽用疫苗生产企业生物安全三级防护标准》条款3.1.1.3和3.1.5.6</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围护结构严密性（必测）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农业部公告第2573号《兽用疫苗生产企业生物安全三级防护标准》条款3.1.2.3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高效过滤空调箱漏风率</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GB/T 14294-2008《组合式空调机组》条款7.5.4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农业部公告第2573号《兽用疫苗生产企业生物安全三级防护标准》条款3.1.3.10</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排风高效过滤装置密封性（适用时必测）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排风高效过滤装置高效过滤器检漏（必测）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50591-2010《洁净室施工及验收规范》附录D.3，或JG/T 497-2016《排风高效过滤装置》条款7.5.2，7.5.3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排水管呼吸过滤装置密封性（适用时必测）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排水管呼吸过滤单元高效过滤器检漏</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 JG/T 497-2016《排风高效过滤装置》条款7.5.2，7.5.3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在包含1—21项的同时增加的检测项目或评价依据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生物安全三级防护类检验用动物房效检攻毒区域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核心工作间及相邻缓冲围护结构气密性（必测）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《兽用疫苗生产企业生物安全三级防护标准》（农业部公告第2573号）中涉及活病原微生物操作质检室区域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生物安全柜性能验证（适用时必测）</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常规关键防护设备（生物安全三级防护类生产线、检验用动物房效检攻毒区、涉及活病原微生物操作质检室）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 附录D.4，或YY 0569-2011《II级生物安全柜》条款6.3.2.4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50346-2011《生物安全实验室建筑技术规范》条款10.2.8，或YY 0569-2011《II级生物安全柜》条款6.3.3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50346-2011《生物安全实验室建筑技术规范》条款10.2.9，或YY 0569-2011《II级生物安全柜》条款6.3.4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气流流速</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50346-2011《生物安全实验室建筑技术规范》条款10.2.4及10.2.6，或YY 0569-2011《II级生物安全柜》条款6.3.7，6.3.8</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199-2015《实验室设备生物安全性能评价技术规范》条款4.1.4.1及4.1.4.3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气流烟雾模式</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50346-2011《生物安全实验室建筑技术规范》条款10.2.5，或YY 0569-2011《II级生物安全柜》条款6.3.9</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工作区洁净度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手套箱式隔离器性能验证（适用时必测）</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手套口气流</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50346-2011《生物安全实验室建筑技术规范》附录D.4，或GB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隔离器密封性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ISO 10648-2《隔离器—第二部分 按照密封性分级和相关检测方法》条款5.2，5.3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199-2015《实验室设备生物安全性能评价技术规范》条款4.2.4.5</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独立通风笼具（IVC）性能验证（适用时必测）</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气流速度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199-2015《实验室设备生物安全性能评价技术规范》条款4.3.4.1</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压差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风量/</w:t>
            </w:r>
          </w:p>
          <w:p>
            <w:pPr>
              <w:jc w:val="center"/>
              <w:rPr>
                <w:rFonts w:hint="eastAsia" w:ascii="宋体" w:hAnsi="宋体" w:cs="宋体"/>
              </w:rPr>
            </w:pPr>
            <w:r>
              <w:rPr>
                <w:rFonts w:hint="eastAsia" w:ascii="宋体" w:hAnsi="宋体" w:cs="宋体"/>
              </w:rPr>
              <w:t>换气次数</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气密性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 《生物安全实验室建筑技术规范》附录D.4，或GB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199-2015《实验室设备生物安全性能评价技术规范》条款4.3.4.5</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9285"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注：1.检测方法和检测结果评价的依据应为现行有效版标准。</w:t>
            </w:r>
          </w:p>
          <w:p>
            <w:pPr>
              <w:ind w:firstLine="480"/>
              <w:rPr>
                <w:rFonts w:hint="eastAsia" w:ascii="宋体" w:hAnsi="宋体" w:cs="宋体"/>
              </w:rPr>
            </w:pPr>
            <w:r>
              <w:rPr>
                <w:rFonts w:hint="eastAsia" w:ascii="宋体" w:hAnsi="宋体" w:cs="宋体"/>
              </w:rPr>
              <w:t>2.全检是指兽药生产企业各洁净区内的所有房间、走廊、缓冲间等，涉及该检测项目的，都应进行检测。</w:t>
            </w:r>
          </w:p>
          <w:p>
            <w:pPr>
              <w:ind w:firstLine="480"/>
              <w:rPr>
                <w:rFonts w:hint="eastAsia" w:ascii="宋体" w:hAnsi="宋体" w:cs="宋体"/>
              </w:rPr>
            </w:pPr>
            <w:r>
              <w:rPr>
                <w:rFonts w:hint="eastAsia" w:ascii="宋体" w:hAnsi="宋体" w:cs="宋体"/>
              </w:rPr>
              <w:t>3.适用时必测是指法规要求应有相应条件时，必须测定的项目。</w:t>
            </w:r>
          </w:p>
          <w:p>
            <w:pPr>
              <w:ind w:firstLine="480"/>
              <w:rPr>
                <w:rFonts w:hint="eastAsia" w:ascii="宋体" w:hAnsi="宋体" w:cs="宋体"/>
              </w:rPr>
            </w:pPr>
            <w:r>
              <w:rPr>
                <w:rFonts w:hint="eastAsia" w:ascii="宋体" w:hAnsi="宋体" w:cs="宋体"/>
              </w:rPr>
              <w:t xml:space="preserve">4.主要操作间是指用于承担生产或检验过程中关键工序的房间。 </w:t>
            </w:r>
          </w:p>
          <w:p>
            <w:pPr>
              <w:ind w:firstLine="480"/>
              <w:rPr>
                <w:rFonts w:hint="eastAsia" w:ascii="宋体" w:hAnsi="宋体" w:cs="宋体"/>
              </w:rPr>
            </w:pPr>
            <w:r>
              <w:rPr>
                <w:rFonts w:hint="eastAsia" w:ascii="宋体" w:hAnsi="宋体" w:cs="宋体"/>
              </w:rPr>
              <w:t>5.送风高效过滤器检漏：C和D级抽检是指按照每套通风空调系统对应高效送风口数量不少于10%进行抽查检测，且每套系统不少于3个。</w:t>
            </w:r>
          </w:p>
          <w:p>
            <w:pPr>
              <w:ind w:firstLine="480"/>
              <w:rPr>
                <w:rFonts w:hint="eastAsia" w:ascii="宋体" w:hAnsi="宋体" w:cs="宋体"/>
              </w:rPr>
            </w:pPr>
            <w:r>
              <w:rPr>
                <w:rFonts w:hint="eastAsia" w:ascii="宋体" w:hAnsi="宋体" w:cs="宋体"/>
              </w:rPr>
              <w:t>6.涉及生物安全三级防护类车间、检验用动物房效检攻毒区及活病原微生物操作质检室的检测项目，除进行对应区域所需检测项目外，还应进行“工况转换可靠性验证”、“系统启停可靠性验证”、“备用机组切换可靠性验证”、“电气、自控和故障报警系统可靠性验证”，验证结果应符合《兽用疫苗生产企业生物安全三级防护标准》（农业部公告第2573号）条款3.1.6、3.1.7和3.1.8的要求。</w:t>
            </w:r>
          </w:p>
        </w:tc>
      </w:tr>
    </w:tbl>
    <w:p>
      <w:pPr>
        <w:spacing w:line="360" w:lineRule="auto"/>
        <w:rPr>
          <w:rFonts w:hint="eastAsia" w:ascii="宋体" w:hAnsi="宋体"/>
          <w:szCs w:val="21"/>
        </w:rPr>
      </w:pPr>
    </w:p>
    <w:sectPr>
      <w:pgSz w:w="11906" w:h="16838"/>
      <w:pgMar w:top="1440" w:right="1080" w:bottom="1440" w:left="1080" w:header="454" w:footer="624" w:gutter="284"/>
      <w:cols w:space="720" w:num="1"/>
      <w:docGrid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B634EFC3"/>
    <w:multiLevelType w:val="singleLevel"/>
    <w:tmpl w:val="B634EFC3"/>
    <w:lvl w:ilvl="0" w:tentative="0">
      <w:start w:val="1"/>
      <w:numFmt w:val="bullet"/>
      <w:lvlText w:val=""/>
      <w:lvlJc w:val="left"/>
      <w:pPr>
        <w:ind w:left="420" w:hanging="420"/>
      </w:pPr>
      <w:rPr>
        <w:rFonts w:hint="default" w:ascii="Wingdings" w:hAnsi="Wingdings"/>
      </w:rPr>
    </w:lvl>
  </w:abstractNum>
  <w:abstractNum w:abstractNumId="2">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3">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4">
    <w:nsid w:val="0B6366DE"/>
    <w:multiLevelType w:val="singleLevel"/>
    <w:tmpl w:val="0B6366DE"/>
    <w:lvl w:ilvl="0" w:tentative="0">
      <w:start w:val="1"/>
      <w:numFmt w:val="decimal"/>
      <w:suff w:val="nothing"/>
      <w:lvlText w:val="%1、"/>
      <w:lvlJc w:val="left"/>
    </w:lvl>
  </w:abstractNum>
  <w:abstractNum w:abstractNumId="5">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6">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3"/>
  </w:num>
  <w:num w:numId="2">
    <w:abstractNumId w:val="6"/>
  </w:num>
  <w:num w:numId="3">
    <w:abstractNumId w:val="10"/>
  </w:num>
  <w:num w:numId="4">
    <w:abstractNumId w:val="2"/>
  </w:num>
  <w:num w:numId="5">
    <w:abstractNumId w:val="9"/>
  </w:num>
  <w:num w:numId="6">
    <w:abstractNumId w:val="4"/>
  </w:num>
  <w:num w:numId="7">
    <w:abstractNumId w:val="5"/>
  </w:num>
  <w:num w:numId="8">
    <w:abstractNumId w:val="8"/>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A7BAA"/>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201A"/>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0793B"/>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510B"/>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5C6406D"/>
    <w:rsid w:val="16983918"/>
    <w:rsid w:val="17996C95"/>
    <w:rsid w:val="197E6F57"/>
    <w:rsid w:val="1BB41BF4"/>
    <w:rsid w:val="1C1F3F30"/>
    <w:rsid w:val="1C4A05F8"/>
    <w:rsid w:val="1D0443F5"/>
    <w:rsid w:val="1E016C54"/>
    <w:rsid w:val="1E0F4A61"/>
    <w:rsid w:val="1E1C5EBA"/>
    <w:rsid w:val="1EC2785D"/>
    <w:rsid w:val="1EE05DD3"/>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E953B0D"/>
    <w:rsid w:val="2FE65C05"/>
    <w:rsid w:val="313B2B55"/>
    <w:rsid w:val="32086374"/>
    <w:rsid w:val="32E20907"/>
    <w:rsid w:val="331B6105"/>
    <w:rsid w:val="331C6058"/>
    <w:rsid w:val="33541CF7"/>
    <w:rsid w:val="3510699D"/>
    <w:rsid w:val="3572793B"/>
    <w:rsid w:val="35DC3C36"/>
    <w:rsid w:val="36CD6FED"/>
    <w:rsid w:val="370B41DA"/>
    <w:rsid w:val="37CA4679"/>
    <w:rsid w:val="39C73D2B"/>
    <w:rsid w:val="39F61D71"/>
    <w:rsid w:val="3A1F37E7"/>
    <w:rsid w:val="3B440B41"/>
    <w:rsid w:val="3B550ADC"/>
    <w:rsid w:val="3BC06797"/>
    <w:rsid w:val="3C263F3D"/>
    <w:rsid w:val="3C2A54F7"/>
    <w:rsid w:val="3D612AF7"/>
    <w:rsid w:val="3D775F60"/>
    <w:rsid w:val="3E7C5347"/>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566B0"/>
    <w:rsid w:val="46F863AF"/>
    <w:rsid w:val="47607C0F"/>
    <w:rsid w:val="478168DD"/>
    <w:rsid w:val="486636D8"/>
    <w:rsid w:val="49041A60"/>
    <w:rsid w:val="495E19D1"/>
    <w:rsid w:val="4A9E67FA"/>
    <w:rsid w:val="4BE347CE"/>
    <w:rsid w:val="4DDC797C"/>
    <w:rsid w:val="4DE80860"/>
    <w:rsid w:val="4E324158"/>
    <w:rsid w:val="4E872C30"/>
    <w:rsid w:val="4F211D8B"/>
    <w:rsid w:val="4F9A758A"/>
    <w:rsid w:val="500C2385"/>
    <w:rsid w:val="5061750A"/>
    <w:rsid w:val="50C76663"/>
    <w:rsid w:val="534C0841"/>
    <w:rsid w:val="536740F0"/>
    <w:rsid w:val="54186A87"/>
    <w:rsid w:val="54277E31"/>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2A2493C"/>
    <w:rsid w:val="737115E9"/>
    <w:rsid w:val="741729C0"/>
    <w:rsid w:val="752E2E69"/>
    <w:rsid w:val="764F6E03"/>
    <w:rsid w:val="76D07CAF"/>
    <w:rsid w:val="77AA1C36"/>
    <w:rsid w:val="787D06DA"/>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文本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表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6355</Words>
  <Characters>36225</Characters>
  <Lines>301</Lines>
  <Paragraphs>84</Paragraphs>
  <TotalTime>4</TotalTime>
  <ScaleCrop>false</ScaleCrop>
  <LinksUpToDate>false</LinksUpToDate>
  <CharactersWithSpaces>42496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2025-04-15T02:30:00Z</dcterms:created>
  <dc:creator>acer</dc:creator>
  <cp:lastModifiedBy>扬州威克公文收文员</cp:lastModifiedBy>
  <cp:lastPrinted>2022-01-04T06:46:00Z</cp:lastPrinted>
  <dcterms:modified xsi:type="dcterms:W3CDTF">2025-05-13T00:09:54Z</dcterms:modified>
  <dc:title>附件二：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