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WKZB-2026-009</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管制瓶</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六年七</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管制瓶</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WKZB-2026-009</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管制瓶</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管制瓶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管制瓶</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管制瓶</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14:paraId="3A00A6E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商入围管制瓶项目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4E949408">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33102490"/>
      <w:bookmarkStart w:id="36" w:name="_Toc144974495"/>
      <w:bookmarkStart w:id="37" w:name="_Toc390940505"/>
      <w:bookmarkStart w:id="38" w:name="_Toc29223"/>
      <w:bookmarkStart w:id="39" w:name="_Toc152042303"/>
      <w:bookmarkStart w:id="40" w:name="_Toc152045527"/>
      <w:bookmarkStart w:id="41" w:name="_Toc179632544"/>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rFonts w:hint="eastAsia"/>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p w14:paraId="54ABF3B7">
            <w:pPr>
              <w:spacing w:line="320" w:lineRule="exact"/>
              <w:rPr>
                <w:rFonts w:hint="default" w:eastAsia="宋体"/>
                <w:highlight w:val="none"/>
                <w:lang w:val="en-US" w:eastAsia="zh-CN"/>
              </w:rPr>
            </w:pPr>
            <w:r>
              <w:rPr>
                <w:rFonts w:hint="eastAsia"/>
                <w:b/>
                <w:bCs/>
                <w:color w:val="FF0000"/>
                <w:highlight w:val="none"/>
                <w:lang w:val="en-US" w:eastAsia="zh-CN"/>
              </w:rPr>
              <w:t>样品：符合招标要求的样品，随投标文件提供样品（10只）</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6713"/>
      <w:bookmarkStart w:id="44" w:name="_Toc109736068"/>
      <w:bookmarkStart w:id="45" w:name="_Toc41522252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109736069"/>
      <w:bookmarkStart w:id="52" w:name="_Toc30412"/>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Toc216582814"/>
      <w:bookmarkStart w:id="58" w:name="_Toc415222525"/>
      <w:bookmarkStart w:id="59" w:name="_Ref467988705"/>
      <w:bookmarkStart w:id="60" w:name="_Toc520356218"/>
      <w:bookmarkStart w:id="61" w:name="_Toc109736070"/>
      <w:bookmarkStart w:id="62" w:name="_Toc480942350"/>
      <w:bookmarkStart w:id="63" w:name="_Toc19517"/>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WKZB-2026-009</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2391"/>
        <w:gridCol w:w="3488"/>
        <w:gridCol w:w="1569"/>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6" w:type="pct"/>
            <w:vAlign w:val="center"/>
          </w:tcPr>
          <w:p w14:paraId="2B9C5326">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物料名称</w:t>
            </w: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w:t>
            </w:r>
          </w:p>
        </w:tc>
        <w:tc>
          <w:tcPr>
            <w:tcW w:w="1805"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元/个</w:t>
            </w:r>
            <w:r>
              <w:rPr>
                <w:rFonts w:hint="eastAsia" w:ascii="仿宋" w:hAnsi="仿宋" w:eastAsia="仿宋" w:cs="仿宋"/>
                <w:sz w:val="24"/>
                <w:highlight w:val="none"/>
              </w:rPr>
              <w:t>）</w:t>
            </w:r>
          </w:p>
        </w:tc>
        <w:tc>
          <w:tcPr>
            <w:tcW w:w="810" w:type="pct"/>
            <w:vAlign w:val="center"/>
          </w:tcPr>
          <w:p w14:paraId="32B39F3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14:paraId="71FFFB7A">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管制瓶</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10ML</w:t>
            </w:r>
          </w:p>
        </w:tc>
        <w:tc>
          <w:tcPr>
            <w:tcW w:w="1805"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center"/>
              <w:rPr>
                <w:rFonts w:ascii="仿宋" w:hAnsi="仿宋" w:eastAsia="仿宋" w:cs="仿宋"/>
                <w:sz w:val="24"/>
                <w:highlight w:val="none"/>
              </w:rPr>
            </w:pPr>
          </w:p>
        </w:tc>
        <w:tc>
          <w:tcPr>
            <w:tcW w:w="810"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根据采购订单分批送货</w:t>
            </w: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53" w:type="pct"/>
            <w:gridSpan w:val="3"/>
            <w:tcBorders>
              <w:left w:val="single" w:color="auto" w:sz="4" w:space="0"/>
              <w:bottom w:val="single" w:color="auto" w:sz="4" w:space="0"/>
            </w:tcBorders>
            <w:vAlign w:val="center"/>
          </w:tcPr>
          <w:p w14:paraId="6A6F2FDC">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p w14:paraId="573929A8">
            <w:pPr>
              <w:spacing w:line="380" w:lineRule="exact"/>
              <w:jc w:val="center"/>
              <w:rPr>
                <w:rFonts w:hint="default" w:ascii="仿宋" w:hAnsi="仿宋" w:eastAsia="仿宋" w:cs="仿宋"/>
                <w:sz w:val="24"/>
                <w:highlight w:val="none"/>
                <w:lang w:val="en-US" w:eastAsia="zh-CN"/>
              </w:rPr>
            </w:pPr>
            <w:r>
              <w:rPr>
                <w:rFonts w:hint="eastAsia" w:hAnsi="宋体"/>
                <w:b w:val="0"/>
                <w:bCs w:val="0"/>
                <w:szCs w:val="21"/>
                <w:highlight w:val="none"/>
                <w:lang w:val="en-US" w:eastAsia="zh-CN"/>
              </w:rPr>
              <w:t>说明：供货期是指订单下达到商品运送指定地点的日期</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3" w:type="pct"/>
            <w:gridSpan w:val="3"/>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1年，按照合同约定供货并保证质量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bookmarkStart w:id="142" w:name="_GoBack"/>
      <w:bookmarkEnd w:id="142"/>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109736072"/>
      <w:bookmarkStart w:id="65" w:name="_Toc216582818"/>
      <w:bookmarkStart w:id="66" w:name="_Toc415222529"/>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WKZB-2026-009</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付款方式：货物验收合格后开具增值税专用发票，三个月后付款，可接受50%银行承兑汇票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109736073"/>
      <w:bookmarkStart w:id="70" w:name="_Toc415222528"/>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Toc480942355"/>
      <w:bookmarkStart w:id="74" w:name="_Toc520356224"/>
      <w:bookmarkStart w:id="75" w:name="_Ref467988543"/>
      <w:bookmarkStart w:id="76" w:name="_Toc109736074"/>
      <w:bookmarkStart w:id="77" w:name="_Toc415222530"/>
      <w:bookmarkStart w:id="78" w:name="_Toc216582819"/>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4121"/>
      <w:bookmarkEnd w:id="82"/>
      <w:bookmarkStart w:id="83" w:name="_Hlt520343392"/>
      <w:bookmarkEnd w:id="83"/>
      <w:bookmarkStart w:id="84" w:name="_Hlt520274065"/>
      <w:bookmarkEnd w:id="84"/>
      <w:bookmarkStart w:id="85" w:name="_Hlt520273973"/>
      <w:bookmarkEnd w:id="85"/>
      <w:bookmarkStart w:id="86" w:name="_Hlt520271212"/>
      <w:bookmarkEnd w:id="86"/>
      <w:bookmarkStart w:id="87" w:name="_Hlt520274393"/>
      <w:bookmarkEnd w:id="87"/>
      <w:bookmarkStart w:id="88" w:name="_Hlt520350957"/>
      <w:bookmarkEnd w:id="88"/>
      <w:bookmarkStart w:id="89" w:name="_Hlt520343000"/>
      <w:bookmarkEnd w:id="89"/>
      <w:bookmarkStart w:id="90" w:name="_Hlt520274407"/>
      <w:bookmarkEnd w:id="90"/>
      <w:bookmarkStart w:id="91" w:name="_Hlt520350918"/>
      <w:bookmarkEnd w:id="91"/>
      <w:bookmarkStart w:id="92" w:name="_Hlt520273711"/>
      <w:bookmarkEnd w:id="92"/>
      <w:bookmarkStart w:id="93" w:name="_Toc480942358"/>
      <w:bookmarkStart w:id="94" w:name="_Ref467988471"/>
      <w:bookmarkStart w:id="95" w:name="_Ref467988479"/>
      <w:bookmarkStart w:id="96" w:name="_Ref467990064"/>
      <w:bookmarkStart w:id="97" w:name="_Toc520125062"/>
      <w:bookmarkStart w:id="98" w:name="_Toc480942357"/>
      <w:bookmarkStart w:id="99" w:name="_Toc520125061"/>
      <w:bookmarkStart w:id="100" w:name="_Ref467990058"/>
      <w:bookmarkStart w:id="101" w:name="_Toc520356229"/>
      <w:bookmarkStart w:id="102" w:name="_Ref467988485"/>
      <w:bookmarkStart w:id="103" w:name="_Ref467990100"/>
      <w:bookmarkStart w:id="104" w:name="_Ref467990101"/>
      <w:bookmarkStart w:id="105" w:name="_Toc520356228"/>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WKZB-2026-009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9175639"/>
      <w:bookmarkStart w:id="118" w:name="_Toc218935355"/>
      <w:bookmarkStart w:id="119" w:name="_Toc109736075"/>
      <w:bookmarkStart w:id="120" w:name="_Toc216582826"/>
      <w:bookmarkStart w:id="121" w:name="_Toc220229434"/>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根据投标人生产、供应能力（根据提供的供应商资质文件等评价），最高得5分，第二名得3分，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41E0D384">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1561"/>
      <w:bookmarkStart w:id="129" w:name="_Toc18725"/>
      <w:bookmarkStart w:id="130" w:name="_Toc61418267"/>
      <w:bookmarkStart w:id="131" w:name="_Toc188181412"/>
      <w:bookmarkStart w:id="132" w:name="_Toc512327974"/>
      <w:r>
        <w:rPr>
          <w:rFonts w:hint="eastAsia" w:ascii="宋体" w:hAnsi="宋体" w:eastAsia="宋体" w:cs="Times New Roman"/>
          <w:b/>
          <w:caps w:val="0"/>
          <w:kern w:val="28"/>
          <w:sz w:val="30"/>
          <w:szCs w:val="30"/>
          <w:lang w:val="fr-FR" w:eastAsia="zh-CN" w:bidi="ar-SA"/>
        </w:rPr>
        <w:t>目的</w:t>
      </w:r>
      <w:bookmarkEnd w:id="128"/>
      <w:bookmarkEnd w:id="129"/>
    </w:p>
    <w:bookmarkEnd w:id="130"/>
    <w:bookmarkEnd w:id="131"/>
    <w:p w14:paraId="4B85B79B">
      <w:pPr>
        <w:widowControl/>
        <w:jc w:val="left"/>
        <w:rPr>
          <w:rFonts w:hint="eastAsia"/>
          <w:kern w:val="0"/>
          <w:sz w:val="20"/>
          <w:szCs w:val="20"/>
          <w:lang w:val="fr-FR"/>
        </w:rPr>
      </w:pPr>
      <w:bookmarkStart w:id="133" w:name="_Hlk528847756"/>
      <w:bookmarkStart w:id="134" w:name="_Toc28598"/>
      <w:r>
        <w:rPr>
          <w:kern w:val="0"/>
          <w:sz w:val="20"/>
          <w:szCs w:val="20"/>
          <w:lang w:val="fr-FR"/>
        </w:rPr>
        <w:t>本</w:t>
      </w:r>
      <w:r>
        <w:rPr>
          <w:rFonts w:hint="eastAsia" w:ascii="Times New Roman"/>
          <w:kern w:val="0"/>
          <w:sz w:val="20"/>
          <w:szCs w:val="20"/>
          <w:lang w:val="fr-FR"/>
        </w:rPr>
        <w:t>URS</w:t>
      </w:r>
      <w:r>
        <w:rPr>
          <w:kern w:val="0"/>
          <w:sz w:val="20"/>
          <w:szCs w:val="20"/>
          <w:lang w:val="fr-FR"/>
        </w:rPr>
        <w:t>文件旨在以文件的形式描述</w:t>
      </w:r>
      <w:r>
        <w:rPr>
          <w:rFonts w:hint="eastAsia" w:ascii="Times New Roman"/>
          <w:kern w:val="0"/>
          <w:sz w:val="20"/>
          <w:szCs w:val="20"/>
          <w:lang w:val="en-US"/>
        </w:rPr>
        <w:t>我公司生物制品部分成品灌装用</w:t>
      </w:r>
      <w:r>
        <w:rPr>
          <w:rFonts w:hint="eastAsia" w:ascii="Times New Roman" w:eastAsia="宋体"/>
          <w:kern w:val="0"/>
          <w:sz w:val="20"/>
          <w:szCs w:val="20"/>
          <w:lang w:val="en-US" w:eastAsia="zh-CN"/>
        </w:rPr>
        <w:t>管制瓶</w:t>
      </w:r>
      <w:r>
        <w:rPr>
          <w:kern w:val="0"/>
          <w:sz w:val="20"/>
          <w:szCs w:val="20"/>
          <w:lang w:val="fr-FR"/>
        </w:rPr>
        <w:t>的需</w:t>
      </w:r>
      <w:r>
        <w:rPr>
          <w:rFonts w:hint="eastAsia" w:ascii="Times New Roman" w:eastAsia="宋体"/>
          <w:kern w:val="0"/>
          <w:sz w:val="20"/>
          <w:szCs w:val="20"/>
          <w:lang w:val="en-US" w:eastAsia="zh-CN"/>
        </w:rPr>
        <w:t>求</w:t>
      </w:r>
      <w:r>
        <w:rPr>
          <w:kern w:val="0"/>
          <w:sz w:val="20"/>
          <w:szCs w:val="20"/>
          <w:lang w:val="fr-FR"/>
        </w:rPr>
        <w:t>。包括</w:t>
      </w:r>
      <w:r>
        <w:rPr>
          <w:rFonts w:hint="eastAsia" w:ascii="Times New Roman"/>
          <w:kern w:val="0"/>
          <w:sz w:val="20"/>
          <w:szCs w:val="20"/>
          <w:lang w:val="en-US"/>
        </w:rPr>
        <w:t>瓶重、瓶高、直径、无菌检测</w:t>
      </w:r>
      <w:r>
        <w:rPr>
          <w:kern w:val="0"/>
          <w:sz w:val="20"/>
          <w:szCs w:val="20"/>
          <w:lang w:val="fr-FR"/>
        </w:rPr>
        <w:t>等方面</w:t>
      </w:r>
      <w:r>
        <w:rPr>
          <w:rFonts w:hint="eastAsia" w:ascii="Times New Roman"/>
          <w:kern w:val="0"/>
          <w:sz w:val="20"/>
          <w:szCs w:val="20"/>
          <w:lang w:val="fr-FR"/>
        </w:rPr>
        <w:t>，</w:t>
      </w:r>
      <w:r>
        <w:rPr>
          <w:kern w:val="0"/>
          <w:sz w:val="20"/>
          <w:szCs w:val="20"/>
          <w:lang w:val="fr-FR"/>
        </w:rPr>
        <w:t>是合同等商业行为后续技术、质量体系工作的基础</w:t>
      </w:r>
      <w:r>
        <w:rPr>
          <w:rFonts w:hint="eastAsia" w:ascii="Times New Roman"/>
          <w:kern w:val="0"/>
          <w:sz w:val="20"/>
          <w:szCs w:val="20"/>
          <w:lang w:val="fr-FR"/>
        </w:rPr>
        <w:t>，并</w:t>
      </w:r>
      <w:r>
        <w:rPr>
          <w:kern w:val="0"/>
          <w:sz w:val="20"/>
          <w:szCs w:val="20"/>
          <w:lang w:val="fr-FR"/>
        </w:rPr>
        <w:t>将作为</w:t>
      </w:r>
      <w:r>
        <w:rPr>
          <w:rFonts w:hint="eastAsia" w:ascii="Times New Roman"/>
          <w:kern w:val="0"/>
          <w:sz w:val="20"/>
          <w:szCs w:val="20"/>
          <w:lang w:val="en-US"/>
        </w:rPr>
        <w:t>最后</w:t>
      </w:r>
      <w:r>
        <w:rPr>
          <w:kern w:val="0"/>
          <w:sz w:val="20"/>
          <w:szCs w:val="20"/>
          <w:lang w:val="fr-FR"/>
        </w:rPr>
        <w:t>验收的依据。</w:t>
      </w:r>
      <w:r>
        <w:rPr>
          <w:rFonts w:hint="eastAsia" w:ascii="Times New Roman"/>
          <w:kern w:val="0"/>
          <w:sz w:val="20"/>
          <w:szCs w:val="20"/>
          <w:lang w:val="fr-FR"/>
        </w:rPr>
        <w:t>以</w:t>
      </w:r>
      <w:r>
        <w:rPr>
          <w:kern w:val="0"/>
          <w:sz w:val="20"/>
          <w:szCs w:val="20"/>
          <w:lang w:val="fr-FR"/>
        </w:rPr>
        <w:t>保证制造商所提供的产品符合我公司的所有</w:t>
      </w:r>
      <w:r>
        <w:rPr>
          <w:rFonts w:hint="eastAsia" w:ascii="Times New Roman"/>
          <w:kern w:val="0"/>
          <w:sz w:val="20"/>
          <w:szCs w:val="20"/>
          <w:lang w:val="en-US"/>
        </w:rPr>
        <w:t>要求</w:t>
      </w:r>
      <w:r>
        <w:rPr>
          <w:rFonts w:hint="eastAsia" w:ascii="Times New Roman"/>
          <w:kern w:val="0"/>
          <w:sz w:val="20"/>
          <w:szCs w:val="20"/>
          <w:lang w:val="fr-FR"/>
        </w:rPr>
        <w:t>。</w:t>
      </w:r>
    </w:p>
    <w:bookmarkEnd w:id="133"/>
    <w:p w14:paraId="00E8607C">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716"/>
      <w:r>
        <w:rPr>
          <w:rFonts w:hint="eastAsia" w:ascii="宋体" w:hAnsi="宋体" w:eastAsia="宋体" w:cs="Times New Roman"/>
          <w:b/>
          <w:caps/>
          <w:kern w:val="28"/>
          <w:sz w:val="30"/>
          <w:szCs w:val="30"/>
          <w:lang w:val="en-US" w:eastAsia="zh-CN" w:bidi="ar-SA"/>
        </w:rPr>
        <w:t>范围</w:t>
      </w:r>
      <w:bookmarkEnd w:id="134"/>
      <w:bookmarkEnd w:id="135"/>
    </w:p>
    <w:p w14:paraId="4B85900D">
      <w:pPr>
        <w:widowControl/>
        <w:jc w:val="left"/>
        <w:rPr>
          <w:rFonts w:hint="eastAsia" w:eastAsia="宋体"/>
          <w:kern w:val="0"/>
          <w:sz w:val="20"/>
          <w:szCs w:val="20"/>
          <w:lang w:val="fr-FR" w:eastAsia="zh-CN"/>
        </w:rPr>
      </w:pPr>
      <w:bookmarkStart w:id="136" w:name="_Hlk528847449"/>
      <w:r>
        <w:rPr>
          <w:rFonts w:hint="eastAsia" w:ascii="Times New Roman"/>
          <w:kern w:val="0"/>
          <w:sz w:val="20"/>
          <w:szCs w:val="20"/>
          <w:lang w:val="en-US"/>
        </w:rPr>
        <w:t>用于规定我公司生物制品部分成品灌装用</w:t>
      </w:r>
      <w:r>
        <w:rPr>
          <w:rFonts w:hint="eastAsia" w:ascii="Times New Roman" w:eastAsia="宋体"/>
          <w:kern w:val="0"/>
          <w:sz w:val="20"/>
          <w:szCs w:val="20"/>
          <w:lang w:val="en-US" w:eastAsia="zh-CN"/>
        </w:rPr>
        <w:t>管制</w:t>
      </w:r>
      <w:r>
        <w:rPr>
          <w:rFonts w:hint="eastAsia" w:ascii="Times New Roman"/>
          <w:kern w:val="0"/>
          <w:sz w:val="20"/>
          <w:szCs w:val="20"/>
          <w:lang w:val="en-US"/>
        </w:rPr>
        <w:t>瓶的质量标准</w:t>
      </w:r>
      <w:r>
        <w:rPr>
          <w:rFonts w:hint="eastAsia" w:ascii="Times New Roman" w:eastAsia="宋体"/>
          <w:kern w:val="0"/>
          <w:sz w:val="20"/>
          <w:szCs w:val="20"/>
          <w:lang w:val="en-US" w:eastAsia="zh-CN"/>
        </w:rPr>
        <w:t>。</w:t>
      </w:r>
    </w:p>
    <w:bookmarkEnd w:id="136"/>
    <w:p w14:paraId="705C478C">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7" w:name="_Toc16805"/>
      <w:bookmarkStart w:id="138" w:name="_Toc26852"/>
      <w:r>
        <w:rPr>
          <w:rFonts w:hint="eastAsia" w:ascii="宋体" w:hAnsi="宋体" w:eastAsia="宋体" w:cs="Times New Roman"/>
          <w:b/>
          <w:caps/>
          <w:kern w:val="28"/>
          <w:sz w:val="30"/>
          <w:szCs w:val="30"/>
          <w:lang w:val="fr-FR" w:eastAsia="zh-CN" w:bidi="ar-SA"/>
        </w:rPr>
        <w:t>定义和缩略语</w:t>
      </w:r>
      <w:bookmarkEnd w:id="137"/>
      <w:bookmarkEnd w:id="138"/>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207F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093" w:type="dxa"/>
            <w:shd w:val="clear" w:color="auto" w:fill="D9D9D9"/>
            <w:noWrap w:val="0"/>
            <w:vAlign w:val="center"/>
          </w:tcPr>
          <w:p w14:paraId="5933942C">
            <w:pPr>
              <w:widowControl/>
              <w:ind w:firstLine="160" w:firstLineChars="67"/>
              <w:jc w:val="center"/>
              <w:rPr>
                <w:rFonts w:ascii="宋体" w:hAnsi="宋体"/>
                <w:kern w:val="0"/>
                <w:sz w:val="24"/>
                <w:szCs w:val="24"/>
                <w:lang w:val="fr-FR"/>
              </w:rPr>
            </w:pPr>
            <w:bookmarkStart w:id="139" w:name="_Hlk528847918"/>
            <w:r>
              <w:rPr>
                <w:rFonts w:ascii="宋体" w:hAnsi="宋体"/>
                <w:kern w:val="0"/>
                <w:sz w:val="24"/>
                <w:szCs w:val="24"/>
                <w:lang w:val="fr-FR"/>
              </w:rPr>
              <w:t>缩写</w:t>
            </w:r>
          </w:p>
        </w:tc>
        <w:tc>
          <w:tcPr>
            <w:tcW w:w="7371" w:type="dxa"/>
            <w:shd w:val="clear" w:color="auto" w:fill="D9D9D9"/>
            <w:noWrap w:val="0"/>
            <w:vAlign w:val="center"/>
          </w:tcPr>
          <w:p w14:paraId="77B9E670">
            <w:pPr>
              <w:widowControl/>
              <w:ind w:firstLine="420"/>
              <w:jc w:val="center"/>
              <w:rPr>
                <w:rFonts w:ascii="宋体" w:hAnsi="宋体"/>
                <w:kern w:val="0"/>
                <w:sz w:val="24"/>
                <w:szCs w:val="24"/>
                <w:lang w:val="fr-FR"/>
              </w:rPr>
            </w:pPr>
            <w:r>
              <w:rPr>
                <w:rFonts w:ascii="宋体" w:hAnsi="宋体"/>
                <w:kern w:val="0"/>
                <w:sz w:val="24"/>
                <w:szCs w:val="24"/>
                <w:lang w:val="fr-FR"/>
              </w:rPr>
              <w:t>定义</w:t>
            </w:r>
          </w:p>
        </w:tc>
      </w:tr>
      <w:tr w14:paraId="1C4A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93" w:type="dxa"/>
            <w:noWrap w:val="0"/>
            <w:vAlign w:val="center"/>
          </w:tcPr>
          <w:p w14:paraId="49E15EF1">
            <w:pPr>
              <w:widowControl/>
              <w:jc w:val="center"/>
              <w:rPr>
                <w:rFonts w:ascii="宋体" w:hAnsi="宋体"/>
                <w:kern w:val="0"/>
                <w:sz w:val="20"/>
                <w:szCs w:val="20"/>
                <w:lang w:val="fr-FR"/>
              </w:rPr>
            </w:pPr>
            <w:r>
              <w:rPr>
                <w:rFonts w:ascii="宋体" w:hAnsi="宋体"/>
                <w:kern w:val="0"/>
                <w:sz w:val="20"/>
                <w:szCs w:val="20"/>
                <w:lang w:val="fr-FR"/>
              </w:rPr>
              <w:t>GMP</w:t>
            </w:r>
          </w:p>
        </w:tc>
        <w:tc>
          <w:tcPr>
            <w:tcW w:w="7371" w:type="dxa"/>
            <w:noWrap w:val="0"/>
            <w:vAlign w:val="center"/>
          </w:tcPr>
          <w:p w14:paraId="18D2B689">
            <w:pPr>
              <w:widowControl/>
              <w:jc w:val="left"/>
              <w:rPr>
                <w:rFonts w:ascii="宋体" w:hAnsi="宋体"/>
                <w:kern w:val="0"/>
                <w:sz w:val="20"/>
                <w:szCs w:val="20"/>
                <w:lang w:val="fr-FR"/>
              </w:rPr>
            </w:pPr>
            <w:r>
              <w:rPr>
                <w:rFonts w:ascii="宋体" w:hAnsi="宋体"/>
                <w:kern w:val="0"/>
                <w:sz w:val="20"/>
                <w:szCs w:val="20"/>
                <w:lang w:val="fr-FR"/>
              </w:rPr>
              <w:t>Good Manufacturing Practice药品生产质量管理规范</w:t>
            </w:r>
          </w:p>
        </w:tc>
      </w:tr>
      <w:tr w14:paraId="6CC1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93" w:type="dxa"/>
            <w:noWrap w:val="0"/>
            <w:vAlign w:val="center"/>
          </w:tcPr>
          <w:p w14:paraId="1698B109">
            <w:pPr>
              <w:widowControl/>
              <w:jc w:val="center"/>
              <w:rPr>
                <w:rFonts w:ascii="宋体" w:hAnsi="宋体"/>
                <w:kern w:val="0"/>
                <w:sz w:val="20"/>
                <w:szCs w:val="20"/>
                <w:lang w:val="fr-FR"/>
              </w:rPr>
            </w:pPr>
            <w:r>
              <w:rPr>
                <w:rFonts w:ascii="宋体" w:hAnsi="宋体"/>
                <w:kern w:val="0"/>
                <w:sz w:val="20"/>
                <w:szCs w:val="20"/>
                <w:lang w:val="fr-FR"/>
              </w:rPr>
              <w:t>FDA</w:t>
            </w:r>
          </w:p>
        </w:tc>
        <w:tc>
          <w:tcPr>
            <w:tcW w:w="7371" w:type="dxa"/>
            <w:noWrap w:val="0"/>
            <w:vAlign w:val="center"/>
          </w:tcPr>
          <w:p w14:paraId="7DC85F4F">
            <w:pPr>
              <w:widowControl/>
              <w:jc w:val="left"/>
              <w:rPr>
                <w:rFonts w:ascii="宋体" w:hAnsi="宋体"/>
                <w:kern w:val="0"/>
                <w:sz w:val="20"/>
                <w:szCs w:val="20"/>
                <w:lang w:val="fr-FR"/>
              </w:rPr>
            </w:pPr>
            <w:r>
              <w:rPr>
                <w:rFonts w:ascii="宋体" w:hAnsi="宋体"/>
                <w:kern w:val="0"/>
                <w:sz w:val="20"/>
                <w:szCs w:val="20"/>
                <w:lang w:val="fr-FR"/>
              </w:rPr>
              <w:t>Food and Drug Administration 美国食品和药品管理局</w:t>
            </w:r>
          </w:p>
        </w:tc>
      </w:tr>
      <w:tr w14:paraId="5975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93" w:type="dxa"/>
            <w:noWrap w:val="0"/>
            <w:vAlign w:val="center"/>
          </w:tcPr>
          <w:p w14:paraId="76B462C4">
            <w:pPr>
              <w:widowControl/>
              <w:jc w:val="center"/>
              <w:rPr>
                <w:rFonts w:ascii="宋体" w:hAnsi="宋体"/>
                <w:kern w:val="0"/>
                <w:sz w:val="20"/>
                <w:szCs w:val="20"/>
                <w:lang w:val="fr-FR"/>
              </w:rPr>
            </w:pPr>
            <w:r>
              <w:rPr>
                <w:rFonts w:ascii="宋体" w:hAnsi="宋体"/>
                <w:kern w:val="0"/>
                <w:sz w:val="20"/>
                <w:szCs w:val="20"/>
                <w:lang w:val="fr-FR"/>
              </w:rPr>
              <w:t>URS</w:t>
            </w:r>
          </w:p>
        </w:tc>
        <w:tc>
          <w:tcPr>
            <w:tcW w:w="7371" w:type="dxa"/>
            <w:noWrap w:val="0"/>
            <w:vAlign w:val="center"/>
          </w:tcPr>
          <w:p w14:paraId="06299392">
            <w:pPr>
              <w:widowControl/>
              <w:jc w:val="left"/>
              <w:rPr>
                <w:rFonts w:ascii="宋体" w:hAnsi="宋体"/>
                <w:kern w:val="0"/>
                <w:sz w:val="20"/>
                <w:szCs w:val="20"/>
                <w:lang w:val="fr-FR"/>
              </w:rPr>
            </w:pPr>
            <w:r>
              <w:rPr>
                <w:rFonts w:ascii="宋体" w:hAnsi="宋体"/>
                <w:kern w:val="0"/>
                <w:sz w:val="20"/>
                <w:szCs w:val="20"/>
                <w:lang w:val="fr-FR"/>
              </w:rPr>
              <w:t>User Requirement Specification用户需求说明书</w:t>
            </w:r>
          </w:p>
        </w:tc>
      </w:tr>
      <w:tr w14:paraId="021F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93" w:type="dxa"/>
            <w:noWrap w:val="0"/>
            <w:vAlign w:val="center"/>
          </w:tcPr>
          <w:p w14:paraId="3D2A8AB5">
            <w:pPr>
              <w:widowControl/>
              <w:jc w:val="center"/>
              <w:rPr>
                <w:rFonts w:ascii="宋体" w:hAnsi="宋体"/>
                <w:kern w:val="0"/>
                <w:sz w:val="20"/>
                <w:szCs w:val="20"/>
                <w:lang w:val="fr-FR"/>
              </w:rPr>
            </w:pPr>
            <w:r>
              <w:rPr>
                <w:rFonts w:ascii="宋体" w:hAnsi="宋体"/>
                <w:kern w:val="0"/>
                <w:sz w:val="20"/>
                <w:szCs w:val="20"/>
                <w:lang w:val="fr-FR"/>
              </w:rPr>
              <w:t>VP</w:t>
            </w:r>
          </w:p>
        </w:tc>
        <w:tc>
          <w:tcPr>
            <w:tcW w:w="7371" w:type="dxa"/>
            <w:noWrap w:val="0"/>
            <w:vAlign w:val="center"/>
          </w:tcPr>
          <w:p w14:paraId="2C912410">
            <w:pPr>
              <w:widowControl/>
              <w:jc w:val="left"/>
              <w:rPr>
                <w:rFonts w:ascii="宋体" w:hAnsi="宋体"/>
                <w:kern w:val="0"/>
                <w:sz w:val="20"/>
                <w:szCs w:val="20"/>
                <w:lang w:val="fr-FR"/>
              </w:rPr>
            </w:pPr>
            <w:r>
              <w:rPr>
                <w:rFonts w:ascii="宋体" w:hAnsi="宋体"/>
                <w:bCs/>
                <w:kern w:val="0"/>
                <w:sz w:val="20"/>
                <w:szCs w:val="20"/>
                <w:lang w:val="fr-FR"/>
              </w:rPr>
              <w:t>Validation Plan 验证计划</w:t>
            </w:r>
          </w:p>
        </w:tc>
      </w:tr>
      <w:bookmarkEnd w:id="139"/>
      <w:tr w14:paraId="515F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93" w:type="dxa"/>
            <w:noWrap w:val="0"/>
            <w:vAlign w:val="center"/>
          </w:tcPr>
          <w:p w14:paraId="4EDB8029">
            <w:pPr>
              <w:widowControl/>
              <w:jc w:val="center"/>
              <w:rPr>
                <w:rFonts w:ascii="宋体" w:hAnsi="宋体"/>
                <w:bCs/>
                <w:kern w:val="0"/>
                <w:sz w:val="20"/>
                <w:szCs w:val="20"/>
                <w:lang w:val="fr-FR"/>
              </w:rPr>
            </w:pPr>
            <w:bookmarkStart w:id="140" w:name="_Toc20878"/>
            <w:bookmarkStart w:id="141" w:name="_Toc14542"/>
            <w:r>
              <w:rPr>
                <w:rFonts w:hint="eastAsia" w:ascii="宋体" w:hAnsi="宋体"/>
                <w:bCs/>
                <w:kern w:val="0"/>
                <w:sz w:val="20"/>
                <w:szCs w:val="20"/>
                <w:lang w:val="fr-FR"/>
              </w:rPr>
              <w:t>HDPE</w:t>
            </w:r>
          </w:p>
        </w:tc>
        <w:tc>
          <w:tcPr>
            <w:tcW w:w="7371" w:type="dxa"/>
            <w:noWrap w:val="0"/>
            <w:vAlign w:val="center"/>
          </w:tcPr>
          <w:p w14:paraId="02C752A4">
            <w:pPr>
              <w:widowControl/>
              <w:jc w:val="left"/>
              <w:rPr>
                <w:rFonts w:ascii="宋体" w:hAnsi="宋体"/>
                <w:bCs/>
                <w:kern w:val="0"/>
                <w:sz w:val="20"/>
                <w:szCs w:val="20"/>
                <w:lang w:val="fr-FR"/>
              </w:rPr>
            </w:pPr>
            <w:r>
              <w:rPr>
                <w:rFonts w:ascii="宋体" w:hAnsi="宋体"/>
                <w:bCs/>
                <w:kern w:val="0"/>
                <w:sz w:val="20"/>
                <w:szCs w:val="20"/>
                <w:lang w:val="fr-FR"/>
              </w:rPr>
              <w:t>High Density Polyethylene</w:t>
            </w:r>
            <w:r>
              <w:rPr>
                <w:rFonts w:hint="eastAsia" w:ascii="宋体" w:hAnsi="宋体"/>
                <w:bCs/>
                <w:kern w:val="0"/>
                <w:sz w:val="20"/>
                <w:szCs w:val="20"/>
                <w:lang w:val="fr-FR"/>
              </w:rPr>
              <w:t>高密度聚乙烯</w:t>
            </w:r>
          </w:p>
        </w:tc>
      </w:tr>
    </w:tbl>
    <w:p w14:paraId="25C81F5A">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技术规格</w:t>
      </w:r>
      <w:bookmarkEnd w:id="140"/>
      <w:bookmarkEnd w:id="141"/>
    </w:p>
    <w:p w14:paraId="5C244DE0">
      <w:pPr>
        <w:widowControl/>
        <w:jc w:val="left"/>
        <w:rPr>
          <w:rFonts w:hint="eastAsia" w:ascii="宋体" w:hAnsi="宋体" w:cs="宋体"/>
          <w:color w:val="000000"/>
          <w:kern w:val="2"/>
          <w:sz w:val="20"/>
          <w:szCs w:val="20"/>
          <w:lang w:val="en-US"/>
        </w:rPr>
      </w:pPr>
      <w:r>
        <w:rPr>
          <w:rFonts w:hint="eastAsia" w:ascii="宋体" w:hAnsi="宋体"/>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06E19C52">
      <w:pPr>
        <w:keepNext/>
        <w:numPr>
          <w:ilvl w:val="1"/>
          <w:numId w:val="11"/>
        </w:numPr>
        <w:bidi w:val="0"/>
        <w:spacing w:before="240" w:beforeLines="0" w:after="60" w:afterLines="0"/>
        <w:outlineLvl w:val="1"/>
        <w:rPr>
          <w:rFonts w:hint="eastAsia" w:ascii="Times New Roman" w:hAnsi="Times New Roman" w:eastAsia="宋体" w:cs="Times New Roman"/>
          <w:b w:val="0"/>
          <w:caps/>
          <w:kern w:val="28"/>
          <w:sz w:val="28"/>
          <w:lang w:val="fr-FR" w:eastAsia="zh-CN" w:bidi="ar-SA"/>
        </w:rPr>
      </w:pPr>
      <w:r>
        <w:rPr>
          <w:rFonts w:hint="eastAsia" w:ascii="Times New Roman" w:hAnsi="Times New Roman" w:eastAsia="宋体" w:cs="Times New Roman"/>
          <w:b w:val="0"/>
          <w:caps/>
          <w:kern w:val="28"/>
          <w:sz w:val="28"/>
          <w:lang w:val="en-US" w:eastAsia="zh-CN" w:bidi="ar-SA"/>
        </w:rPr>
        <w:t>标准依据</w:t>
      </w:r>
    </w:p>
    <w:p w14:paraId="56EB5B47">
      <w:pPr>
        <w:widowControl/>
        <w:jc w:val="left"/>
        <w:rPr>
          <w:rFonts w:hint="eastAsia" w:ascii="宋体" w:hAnsi="宋体"/>
          <w:color w:val="000000"/>
          <w:kern w:val="0"/>
          <w:sz w:val="20"/>
          <w:szCs w:val="20"/>
          <w:lang w:val="en-US"/>
        </w:rPr>
      </w:pPr>
      <w:r>
        <w:rPr>
          <w:rFonts w:hint="eastAsia" w:ascii="Times New Roman"/>
          <w:kern w:val="0"/>
          <w:sz w:val="20"/>
          <w:szCs w:val="20"/>
          <w:lang w:val="fr-FR"/>
        </w:rPr>
        <w:t>《中国兽药典》20</w:t>
      </w:r>
      <w:r>
        <w:rPr>
          <w:rFonts w:hint="eastAsia" w:ascii="Times New Roman"/>
          <w:kern w:val="0"/>
          <w:sz w:val="20"/>
          <w:szCs w:val="20"/>
          <w:lang w:val="en-US"/>
        </w:rPr>
        <w:t>20</w:t>
      </w:r>
      <w:r>
        <w:rPr>
          <w:rFonts w:hint="eastAsia" w:ascii="Times New Roman"/>
          <w:kern w:val="0"/>
          <w:sz w:val="20"/>
          <w:szCs w:val="20"/>
          <w:lang w:val="fr-FR"/>
        </w:rPr>
        <w:t>版</w:t>
      </w:r>
      <w:r>
        <w:rPr>
          <w:rFonts w:hint="eastAsia" w:ascii="宋体" w:hAnsi="宋体"/>
          <w:color w:val="000000"/>
          <w:kern w:val="0"/>
          <w:sz w:val="20"/>
          <w:szCs w:val="20"/>
          <w:lang w:val="en-US"/>
        </w:rPr>
        <w:t xml:space="preserve"> 三部、《兽药生产质量管理规范》、《兽药管理条例》。</w:t>
      </w:r>
    </w:p>
    <w:p w14:paraId="3F699D29">
      <w:pPr>
        <w:keepNext/>
        <w:numPr>
          <w:ilvl w:val="1"/>
          <w:numId w:val="11"/>
        </w:numPr>
        <w:spacing w:before="240" w:beforeLines="0" w:after="60" w:afterLines="0"/>
        <w:outlineLvl w:val="1"/>
        <w:rPr>
          <w:rFonts w:hint="eastAsia" w:ascii="Times New Roman" w:hAnsi="Times New Roman" w:eastAsia="宋体" w:cs="Times New Roman"/>
          <w:b w:val="0"/>
          <w:caps/>
          <w:kern w:val="28"/>
          <w:sz w:val="28"/>
          <w:lang w:val="en-US" w:eastAsia="zh-CN" w:bidi="ar-SA"/>
        </w:rPr>
      </w:pPr>
      <w:r>
        <w:rPr>
          <w:rFonts w:hint="eastAsia" w:ascii="Times New Roman" w:hAnsi="Times New Roman" w:eastAsia="宋体" w:cs="Times New Roman"/>
          <w:b w:val="0"/>
          <w:caps/>
          <w:kern w:val="28"/>
          <w:sz w:val="28"/>
          <w:lang w:val="en-US" w:eastAsia="zh-CN" w:bidi="ar-SA"/>
        </w:rPr>
        <w:t xml:space="preserve"> 质量标准</w:t>
      </w:r>
    </w:p>
    <w:p w14:paraId="4CD51DF4">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材质</w:t>
      </w:r>
    </w:p>
    <w:p w14:paraId="5D556BBA">
      <w:pPr>
        <w:widowControl/>
        <w:numPr>
          <w:ilvl w:val="0"/>
          <w:numId w:val="12"/>
        </w:numPr>
        <w:ind w:left="425" w:leftChars="0" w:hanging="425" w:firstLineChars="0"/>
        <w:jc w:val="left"/>
        <w:rPr>
          <w:rFonts w:hint="eastAsia"/>
          <w:kern w:val="0"/>
          <w:sz w:val="20"/>
          <w:szCs w:val="20"/>
          <w:lang w:val="fr-FR"/>
        </w:rPr>
      </w:pPr>
      <w:r>
        <w:rPr>
          <w:rFonts w:hint="eastAsia" w:ascii="Times New Roman"/>
          <w:kern w:val="0"/>
          <w:sz w:val="20"/>
          <w:szCs w:val="20"/>
          <w:lang w:val="fr-FR"/>
        </w:rPr>
        <w:t>耐水性应符合HC1、HC2、HC3任何一级耐水性规定。</w:t>
      </w:r>
    </w:p>
    <w:p w14:paraId="66C3A923">
      <w:pPr>
        <w:widowControl/>
        <w:numPr>
          <w:ilvl w:val="0"/>
          <w:numId w:val="12"/>
        </w:numPr>
        <w:ind w:left="425" w:leftChars="0" w:hanging="425" w:firstLineChars="0"/>
        <w:jc w:val="left"/>
        <w:rPr>
          <w:rFonts w:hint="eastAsia"/>
          <w:kern w:val="0"/>
          <w:sz w:val="20"/>
          <w:szCs w:val="20"/>
          <w:lang w:val="fr-FR"/>
        </w:rPr>
      </w:pPr>
      <w:r>
        <w:rPr>
          <w:rFonts w:hint="eastAsia" w:ascii="Times New Roman"/>
          <w:kern w:val="0"/>
          <w:sz w:val="20"/>
          <w:szCs w:val="20"/>
          <w:lang w:val="fr-FR"/>
        </w:rPr>
        <w:t>内应力：瓶身内应力应小于40nm/mm玻璃厚度。</w:t>
      </w:r>
    </w:p>
    <w:p w14:paraId="2BA0D34A">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外观</w:t>
      </w:r>
    </w:p>
    <w:p w14:paraId="29824B3A">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外形平整光洁，不得有任何裂纹。</w:t>
      </w:r>
    </w:p>
    <w:p w14:paraId="1D5B7FD9">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结石和透明结点：</w:t>
      </w:r>
    </w:p>
    <w:p w14:paraId="2FFCE94E">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直径0.5~1.0mm的结石，不超过1个。</w:t>
      </w:r>
    </w:p>
    <w:p w14:paraId="0E6E797B">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直径不大于0.5mm的结石，不超过2个。</w:t>
      </w:r>
    </w:p>
    <w:p w14:paraId="22145E94">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0.5~1.0mm的透明结点，不超过2个。</w:t>
      </w:r>
    </w:p>
    <w:p w14:paraId="7A80F2BF">
      <w:pPr>
        <w:widowControl/>
        <w:numPr>
          <w:ilvl w:val="0"/>
          <w:numId w:val="13"/>
        </w:numPr>
        <w:ind w:left="425" w:hanging="425"/>
        <w:jc w:val="left"/>
        <w:rPr>
          <w:rFonts w:hint="eastAsia"/>
          <w:kern w:val="0"/>
          <w:sz w:val="20"/>
          <w:szCs w:val="20"/>
          <w:lang w:val="fr-FR"/>
        </w:rPr>
      </w:pPr>
      <w:r>
        <w:rPr>
          <w:rFonts w:hint="eastAsia" w:ascii="Times New Roman"/>
          <w:kern w:val="0"/>
          <w:sz w:val="20"/>
          <w:szCs w:val="20"/>
          <w:lang w:val="fr-FR"/>
        </w:rPr>
        <w:t>小于0.5mm密集透明结点，不允许有</w:t>
      </w:r>
      <w:r>
        <w:rPr>
          <w:rFonts w:hint="eastAsia" w:ascii="Times New Roman" w:eastAsia="宋体"/>
          <w:kern w:val="0"/>
          <w:sz w:val="20"/>
          <w:szCs w:val="20"/>
          <w:lang w:val="fr-FR" w:eastAsia="zh-CN"/>
        </w:rPr>
        <w:t>。</w:t>
      </w:r>
    </w:p>
    <w:p w14:paraId="2B052B0E">
      <w:pPr>
        <w:keepNext/>
        <w:numPr>
          <w:ilvl w:val="2"/>
          <w:numId w:val="11"/>
        </w:numPr>
        <w:spacing w:before="240" w:beforeLines="0" w:after="60" w:afterLines="0"/>
        <w:outlineLvl w:val="2"/>
        <w:rPr>
          <w:rFonts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尺寸</w:t>
      </w:r>
      <w:r>
        <w:rPr>
          <w:rFonts w:hint="eastAsia" w:ascii="Times New Roman" w:hAnsi="Times New Roman" w:eastAsia="宋体" w:cs="Times New Roman"/>
          <w:i/>
          <w:sz w:val="24"/>
          <w:lang w:val="en-US" w:eastAsia="zh-CN" w:bidi="ar-SA"/>
        </w:rPr>
        <w:t>要求</w:t>
      </w:r>
    </w:p>
    <w:p w14:paraId="298F2AEF">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10ml管制西林瓶</w:t>
      </w:r>
    </w:p>
    <w:p w14:paraId="7A7E3845">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瓶子全高：</w:t>
      </w:r>
      <w:r>
        <w:rPr>
          <w:rFonts w:hint="eastAsia" w:ascii="Times New Roman" w:hAnsi="Times New Roman" w:eastAsia="宋体" w:cs="Times New Roman"/>
          <w:kern w:val="0"/>
          <w:sz w:val="20"/>
          <w:szCs w:val="20"/>
          <w:lang w:val="en-US" w:eastAsia="zh-CN"/>
        </w:rPr>
        <w:t>4</w:t>
      </w:r>
      <w:r>
        <w:rPr>
          <w:rFonts w:hint="eastAsia" w:ascii="Times New Roman" w:hAnsi="Times New Roman" w:eastAsia="宋体" w:cs="Times New Roman"/>
          <w:kern w:val="0"/>
          <w:sz w:val="20"/>
          <w:szCs w:val="20"/>
          <w:lang w:val="fr-FR"/>
        </w:rPr>
        <w:t>9.7</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±0.5</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 xml:space="preserve"> mm</w:t>
      </w:r>
    </w:p>
    <w:p w14:paraId="01FF0111">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瓶口外径：</w:t>
      </w:r>
      <w:r>
        <w:rPr>
          <w:rFonts w:hint="eastAsia" w:ascii="Times New Roman" w:hAnsi="Times New Roman" w:eastAsia="宋体" w:cs="Times New Roman"/>
          <w:kern w:val="0"/>
          <w:sz w:val="20"/>
          <w:szCs w:val="20"/>
          <w:lang w:val="en-US" w:eastAsia="zh-CN"/>
        </w:rPr>
        <w:t>19.60</w:t>
      </w:r>
      <w:r>
        <w:rPr>
          <w:rFonts w:hint="eastAsia" w:ascii="Times New Roman" w:hAnsi="Times New Roman" w:eastAsia="宋体" w:cs="Times New Roman"/>
          <w:kern w:val="0"/>
          <w:sz w:val="20"/>
          <w:szCs w:val="20"/>
          <w:lang w:val="fr-FR"/>
        </w:rPr>
        <w:t>±0.2</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mm</w:t>
      </w:r>
    </w:p>
    <w:p w14:paraId="26BCB790">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瓶身外径：</w:t>
      </w:r>
      <w:r>
        <w:rPr>
          <w:rFonts w:hint="eastAsia" w:ascii="Times New Roman" w:hAnsi="Times New Roman" w:eastAsia="宋体" w:cs="Times New Roman"/>
          <w:kern w:val="0"/>
          <w:sz w:val="20"/>
          <w:szCs w:val="20"/>
          <w:lang w:val="en-US" w:eastAsia="zh-CN"/>
        </w:rPr>
        <w:t>22.00</w:t>
      </w:r>
      <w:r>
        <w:rPr>
          <w:rFonts w:hint="eastAsia" w:ascii="Times New Roman" w:hAnsi="Times New Roman" w:eastAsia="宋体" w:cs="Times New Roman"/>
          <w:kern w:val="0"/>
          <w:sz w:val="20"/>
          <w:szCs w:val="20"/>
          <w:lang w:val="fr-FR"/>
        </w:rPr>
        <w:t>±0.</w:t>
      </w:r>
      <w:r>
        <w:rPr>
          <w:rFonts w:hint="eastAsia" w:ascii="Times New Roman" w:hAnsi="Times New Roman" w:eastAsia="宋体" w:cs="Times New Roman"/>
          <w:kern w:val="0"/>
          <w:sz w:val="20"/>
          <w:szCs w:val="20"/>
          <w:lang w:val="en-US" w:eastAsia="zh-CN"/>
        </w:rPr>
        <w:t>20</w:t>
      </w:r>
      <w:r>
        <w:rPr>
          <w:rFonts w:hint="eastAsia" w:ascii="Times New Roman" w:hAnsi="Times New Roman" w:eastAsia="宋体" w:cs="Times New Roman"/>
          <w:kern w:val="0"/>
          <w:sz w:val="20"/>
          <w:szCs w:val="20"/>
          <w:lang w:val="fr-FR"/>
        </w:rPr>
        <w:t>mm</w:t>
      </w:r>
    </w:p>
    <w:p w14:paraId="69A97D33">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瓶口内径：12.</w:t>
      </w:r>
      <w:r>
        <w:rPr>
          <w:rFonts w:hint="eastAsia" w:ascii="Times New Roman" w:hAnsi="Times New Roman" w:eastAsia="宋体" w:cs="Times New Roman"/>
          <w:kern w:val="0"/>
          <w:sz w:val="20"/>
          <w:szCs w:val="20"/>
          <w:lang w:val="en-US" w:eastAsia="zh-CN"/>
        </w:rPr>
        <w:t>60</w:t>
      </w:r>
      <w:r>
        <w:rPr>
          <w:rFonts w:hint="eastAsia" w:ascii="Times New Roman" w:hAnsi="Times New Roman" w:eastAsia="宋体" w:cs="Times New Roman"/>
          <w:kern w:val="0"/>
          <w:sz w:val="20"/>
          <w:szCs w:val="20"/>
          <w:lang w:val="fr-FR"/>
        </w:rPr>
        <w:t>±0.2</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mm</w:t>
      </w:r>
    </w:p>
    <w:p w14:paraId="55E504A2">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瓶口边厚：3.2</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±0.2</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mm</w:t>
      </w:r>
    </w:p>
    <w:p w14:paraId="4D4BBC53">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瓶底厚：大于等于0.7</w:t>
      </w: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lang w:val="fr-FR"/>
        </w:rPr>
        <w:t>mm</w:t>
      </w:r>
    </w:p>
    <w:p w14:paraId="254FFFFC">
      <w:pPr>
        <w:widowControl/>
        <w:numPr>
          <w:ilvl w:val="0"/>
          <w:numId w:val="14"/>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垂直轴偏差</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＜1.2mm</w:t>
      </w:r>
    </w:p>
    <w:p w14:paraId="0D88F1E8">
      <w:pPr>
        <w:widowControl/>
        <w:numPr>
          <w:ilvl w:val="0"/>
          <w:numId w:val="14"/>
        </w:numPr>
        <w:ind w:left="425" w:hanging="425"/>
        <w:jc w:val="left"/>
        <w:rPr>
          <w:rFonts w:hint="eastAsia"/>
          <w:kern w:val="0"/>
          <w:sz w:val="20"/>
          <w:szCs w:val="20"/>
          <w:lang w:val="fr-FR"/>
        </w:rPr>
      </w:pPr>
      <w:r>
        <w:rPr>
          <w:rFonts w:hint="eastAsia" w:ascii="Times New Roman" w:hAnsi="Times New Roman" w:eastAsia="宋体" w:cs="Times New Roman"/>
          <w:kern w:val="0"/>
          <w:sz w:val="20"/>
          <w:szCs w:val="20"/>
          <w:lang w:val="fr-FR"/>
        </w:rPr>
        <w:t>尺寸不合格率</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w:t>
      </w:r>
      <w:r>
        <w:rPr>
          <w:rFonts w:hint="eastAsia" w:ascii="Times New Roman" w:hAnsi="Times New Roman" w:eastAsia="宋体" w:cs="Times New Roman"/>
          <w:kern w:val="0"/>
          <w:sz w:val="20"/>
          <w:szCs w:val="20"/>
          <w:lang w:val="en-US" w:eastAsia="zh-CN"/>
        </w:rPr>
        <w:t>0.01%</w:t>
      </w:r>
    </w:p>
    <w:p w14:paraId="2830AD68">
      <w:pPr>
        <w:keepNext/>
        <w:numPr>
          <w:ilvl w:val="2"/>
          <w:numId w:val="11"/>
        </w:numPr>
        <w:spacing w:before="240" w:beforeLines="0" w:after="60" w:afterLines="0"/>
        <w:outlineLvl w:val="2"/>
        <w:rPr>
          <w:rFonts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气泡线</w:t>
      </w:r>
    </w:p>
    <w:p w14:paraId="277813FA">
      <w:pPr>
        <w:widowControl/>
        <w:numPr>
          <w:ilvl w:val="0"/>
          <w:numId w:val="15"/>
        </w:numPr>
        <w:ind w:left="425" w:leftChars="0" w:hanging="425" w:firstLineChars="0"/>
        <w:jc w:val="left"/>
        <w:rPr>
          <w:rFonts w:hint="eastAsia"/>
          <w:kern w:val="0"/>
          <w:sz w:val="20"/>
          <w:szCs w:val="20"/>
          <w:lang w:val="en-US"/>
        </w:rPr>
      </w:pPr>
      <w:r>
        <w:rPr>
          <w:rFonts w:hint="eastAsia" w:ascii="Times New Roman"/>
          <w:kern w:val="0"/>
          <w:sz w:val="20"/>
          <w:szCs w:val="20"/>
          <w:lang w:val="en-US"/>
        </w:rPr>
        <w:t>宽度大于0.2mm的气泡线，不允许有。</w:t>
      </w:r>
    </w:p>
    <w:p w14:paraId="7A64C403">
      <w:pPr>
        <w:widowControl/>
        <w:numPr>
          <w:ilvl w:val="0"/>
          <w:numId w:val="15"/>
        </w:numPr>
        <w:ind w:left="425" w:leftChars="0" w:hanging="425" w:firstLineChars="0"/>
        <w:jc w:val="left"/>
        <w:rPr>
          <w:rFonts w:hint="eastAsia"/>
          <w:kern w:val="0"/>
          <w:sz w:val="20"/>
          <w:szCs w:val="20"/>
          <w:lang w:val="en-US"/>
        </w:rPr>
      </w:pPr>
      <w:r>
        <w:rPr>
          <w:rFonts w:hint="eastAsia" w:ascii="Times New Roman"/>
          <w:kern w:val="0"/>
          <w:sz w:val="20"/>
          <w:szCs w:val="20"/>
          <w:lang w:val="en-US"/>
        </w:rPr>
        <w:t>宽度0.1~0.2mm的气泡线，不超过4条。</w:t>
      </w:r>
    </w:p>
    <w:p w14:paraId="4B2DEF08">
      <w:pPr>
        <w:widowControl/>
        <w:numPr>
          <w:ilvl w:val="0"/>
          <w:numId w:val="15"/>
        </w:numPr>
        <w:ind w:left="425" w:leftChars="0" w:hanging="425" w:firstLineChars="0"/>
        <w:jc w:val="left"/>
        <w:rPr>
          <w:rFonts w:hint="eastAsia"/>
          <w:kern w:val="0"/>
          <w:sz w:val="20"/>
          <w:szCs w:val="20"/>
          <w:lang w:val="fr-FR"/>
        </w:rPr>
      </w:pPr>
      <w:r>
        <w:rPr>
          <w:rFonts w:hint="eastAsia" w:ascii="Times New Roman"/>
          <w:kern w:val="0"/>
          <w:sz w:val="20"/>
          <w:szCs w:val="20"/>
          <w:lang w:val="en-US"/>
        </w:rPr>
        <w:t>宽度小于0.1mm的密集气泡线，不允许有。</w:t>
      </w:r>
    </w:p>
    <w:p w14:paraId="1D8BD620">
      <w:pPr>
        <w:keepNext/>
        <w:numPr>
          <w:ilvl w:val="2"/>
          <w:numId w:val="11"/>
        </w:numPr>
        <w:spacing w:before="240" w:beforeLines="0" w:after="60" w:afterLines="0"/>
        <w:outlineLvl w:val="2"/>
        <w:rPr>
          <w:rFonts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瓶底瓶口气泡</w:t>
      </w:r>
    </w:p>
    <w:p w14:paraId="4B4BF930">
      <w:pPr>
        <w:widowControl/>
        <w:numPr>
          <w:ilvl w:val="0"/>
          <w:numId w:val="16"/>
        </w:numPr>
        <w:tabs>
          <w:tab w:val="left" w:pos="425"/>
        </w:tabs>
        <w:ind w:left="425" w:leftChars="0" w:hanging="425" w:firstLineChars="0"/>
        <w:jc w:val="left"/>
        <w:rPr>
          <w:rFonts w:hint="eastAsia"/>
          <w:kern w:val="0"/>
          <w:sz w:val="20"/>
          <w:szCs w:val="20"/>
          <w:lang w:val="en-US"/>
        </w:rPr>
      </w:pPr>
      <w:r>
        <w:rPr>
          <w:rFonts w:hint="eastAsia" w:ascii="Times New Roman"/>
          <w:kern w:val="0"/>
          <w:sz w:val="20"/>
          <w:szCs w:val="20"/>
          <w:lang w:val="en-US"/>
        </w:rPr>
        <w:t>直径大于0.5mm的气泡，不允许有。</w:t>
      </w:r>
    </w:p>
    <w:p w14:paraId="2BE30F11">
      <w:pPr>
        <w:widowControl/>
        <w:numPr>
          <w:ilvl w:val="0"/>
          <w:numId w:val="16"/>
        </w:numPr>
        <w:tabs>
          <w:tab w:val="left" w:pos="425"/>
        </w:tabs>
        <w:ind w:left="425" w:leftChars="0" w:hanging="425" w:firstLineChars="0"/>
        <w:jc w:val="left"/>
        <w:rPr>
          <w:rFonts w:hint="eastAsia"/>
          <w:kern w:val="0"/>
          <w:sz w:val="20"/>
          <w:szCs w:val="20"/>
          <w:lang w:val="en-US"/>
        </w:rPr>
      </w:pPr>
      <w:r>
        <w:rPr>
          <w:rFonts w:hint="eastAsia" w:ascii="Times New Roman"/>
          <w:kern w:val="0"/>
          <w:sz w:val="20"/>
          <w:szCs w:val="20"/>
          <w:lang w:val="en-US"/>
        </w:rPr>
        <w:t>直径不大于0.5mm的气泡，不超过2个。</w:t>
      </w:r>
    </w:p>
    <w:p w14:paraId="32001F3B">
      <w:pPr>
        <w:widowControl/>
        <w:numPr>
          <w:ilvl w:val="0"/>
          <w:numId w:val="16"/>
        </w:numPr>
        <w:tabs>
          <w:tab w:val="left" w:pos="425"/>
        </w:tabs>
        <w:ind w:left="425" w:leftChars="0" w:hanging="425" w:firstLineChars="0"/>
        <w:jc w:val="left"/>
        <w:rPr>
          <w:rFonts w:hint="eastAsia"/>
          <w:kern w:val="0"/>
          <w:sz w:val="20"/>
          <w:szCs w:val="20"/>
          <w:lang w:val="fr-FR"/>
        </w:rPr>
      </w:pPr>
      <w:r>
        <w:rPr>
          <w:rFonts w:hint="eastAsia" w:ascii="Times New Roman"/>
          <w:kern w:val="0"/>
          <w:sz w:val="20"/>
          <w:szCs w:val="20"/>
          <w:lang w:val="en-US"/>
        </w:rPr>
        <w:t>直径不大于0.1mm的密集气泡，不允许有。</w:t>
      </w:r>
    </w:p>
    <w:p w14:paraId="298B8204">
      <w:pPr>
        <w:keepNext/>
        <w:numPr>
          <w:ilvl w:val="2"/>
          <w:numId w:val="11"/>
        </w:numPr>
        <w:spacing w:before="240" w:beforeLines="0" w:after="60" w:afterLines="0"/>
        <w:outlineLvl w:val="2"/>
        <w:rPr>
          <w:rFonts w:ascii="Times New Roman" w:hAnsi="Times New Roman" w:eastAsia="宋体" w:cs="Times New Roman"/>
          <w:i/>
          <w:sz w:val="24"/>
          <w:lang w:val="fr-FR" w:eastAsia="zh-CN" w:bidi="ar-SA"/>
        </w:rPr>
      </w:pPr>
      <w:r>
        <w:rPr>
          <w:rFonts w:hint="eastAsia" w:ascii="Times New Roman" w:hAnsi="Times New Roman" w:eastAsia="宋体" w:cs="Times New Roman"/>
          <w:i/>
          <w:sz w:val="24"/>
          <w:lang w:val="fr-FR" w:eastAsia="zh-CN" w:bidi="ar-SA"/>
        </w:rPr>
        <w:t>三氧化二硼</w:t>
      </w:r>
      <w:r>
        <w:rPr>
          <w:rFonts w:hint="eastAsia" w:ascii="Times New Roman" w:hAnsi="Times New Roman" w:eastAsia="宋体" w:cs="Times New Roman"/>
          <w:i/>
          <w:sz w:val="24"/>
          <w:lang w:val="en-US" w:eastAsia="zh-CN" w:bidi="ar-SA"/>
        </w:rPr>
        <w:t>含量</w:t>
      </w:r>
    </w:p>
    <w:p w14:paraId="2413F918">
      <w:pPr>
        <w:widowControl/>
        <w:jc w:val="left"/>
        <w:rPr>
          <w:rFonts w:hint="eastAsia"/>
          <w:kern w:val="0"/>
          <w:sz w:val="20"/>
          <w:szCs w:val="20"/>
          <w:lang w:val="fr-FR"/>
        </w:rPr>
      </w:pPr>
      <w:r>
        <w:rPr>
          <w:rFonts w:hint="eastAsia" w:ascii="Times New Roman"/>
          <w:kern w:val="0"/>
          <w:sz w:val="20"/>
          <w:szCs w:val="20"/>
          <w:lang w:val="fr-FR"/>
        </w:rPr>
        <w:t>三氧化二硼含量＞5％小于8％</w:t>
      </w:r>
    </w:p>
    <w:p w14:paraId="6AAD6D03">
      <w:pPr>
        <w:keepNext/>
        <w:numPr>
          <w:ilvl w:val="2"/>
          <w:numId w:val="11"/>
        </w:numPr>
        <w:bidi w:val="0"/>
        <w:spacing w:before="240" w:beforeLines="0" w:after="60" w:afterLines="0"/>
        <w:outlineLvl w:val="2"/>
        <w:rPr>
          <w:rFonts w:hint="default"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内毒素要求</w:t>
      </w:r>
    </w:p>
    <w:p w14:paraId="334D1F4A">
      <w:pPr>
        <w:widowControl/>
        <w:jc w:val="left"/>
        <w:rPr>
          <w:kern w:val="0"/>
          <w:sz w:val="20"/>
          <w:szCs w:val="20"/>
          <w:lang w:val="fr-FR"/>
        </w:rPr>
      </w:pPr>
      <w:r>
        <w:rPr>
          <w:kern w:val="0"/>
          <w:sz w:val="20"/>
          <w:szCs w:val="20"/>
          <w:lang w:val="fr-FR"/>
        </w:rPr>
        <w:t>内毒素，满足≤0.25EU/mL</w:t>
      </w:r>
    </w:p>
    <w:p w14:paraId="7FC9CD87">
      <w:pPr>
        <w:keepNext/>
        <w:numPr>
          <w:ilvl w:val="2"/>
          <w:numId w:val="11"/>
        </w:numPr>
        <w:bidi w:val="0"/>
        <w:spacing w:before="240" w:beforeLines="0" w:after="60" w:afterLines="0"/>
        <w:outlineLvl w:val="2"/>
        <w:rPr>
          <w:rFonts w:hint="default"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洁净度要求</w:t>
      </w:r>
    </w:p>
    <w:p w14:paraId="04B0D1BE">
      <w:pPr>
        <w:widowControl/>
        <w:numPr>
          <w:ilvl w:val="0"/>
          <w:numId w:val="17"/>
        </w:numPr>
        <w:ind w:left="425" w:leftChars="0" w:hanging="425" w:firstLineChars="0"/>
        <w:jc w:val="left"/>
        <w:rPr>
          <w:kern w:val="0"/>
          <w:sz w:val="20"/>
          <w:szCs w:val="20"/>
          <w:lang w:val="fr-FR"/>
        </w:rPr>
      </w:pPr>
      <w:r>
        <w:rPr>
          <w:kern w:val="0"/>
          <w:sz w:val="20"/>
          <w:szCs w:val="20"/>
          <w:lang w:val="fr-FR"/>
        </w:rPr>
        <w:t>内壁无浮尘、玻屑、纤维、毛发</w:t>
      </w:r>
      <w:r>
        <w:rPr>
          <w:rFonts w:hint="eastAsia" w:ascii="Times New Roman" w:eastAsia="宋体"/>
          <w:kern w:val="0"/>
          <w:sz w:val="20"/>
          <w:szCs w:val="20"/>
          <w:lang w:val="fr-FR" w:eastAsia="zh-CN"/>
        </w:rPr>
        <w:t>。</w:t>
      </w:r>
    </w:p>
    <w:p w14:paraId="2B425AD5">
      <w:pPr>
        <w:widowControl/>
        <w:numPr>
          <w:ilvl w:val="0"/>
          <w:numId w:val="17"/>
        </w:numPr>
        <w:ind w:left="425" w:leftChars="0" w:hanging="425" w:firstLineChars="0"/>
        <w:jc w:val="left"/>
        <w:rPr>
          <w:kern w:val="0"/>
          <w:sz w:val="20"/>
          <w:szCs w:val="20"/>
          <w:lang w:val="fr-FR"/>
        </w:rPr>
      </w:pPr>
      <w:r>
        <w:rPr>
          <w:kern w:val="0"/>
          <w:sz w:val="20"/>
          <w:szCs w:val="20"/>
          <w:lang w:val="fr-FR"/>
        </w:rPr>
        <w:t>水冲洗微粒：≥10μm 微粒数量符合 GMP 洁净包材要求</w:t>
      </w:r>
      <w:r>
        <w:rPr>
          <w:rFonts w:hint="eastAsia" w:ascii="Times New Roman" w:eastAsia="宋体"/>
          <w:kern w:val="0"/>
          <w:sz w:val="20"/>
          <w:szCs w:val="20"/>
          <w:lang w:val="fr-FR" w:eastAsia="zh-CN"/>
        </w:rPr>
        <w:t>。</w:t>
      </w:r>
    </w:p>
    <w:p w14:paraId="2F798E53">
      <w:pPr>
        <w:widowControl/>
        <w:numPr>
          <w:ilvl w:val="0"/>
          <w:numId w:val="17"/>
        </w:numPr>
        <w:ind w:left="425" w:leftChars="0" w:hanging="425" w:firstLineChars="0"/>
        <w:jc w:val="left"/>
        <w:rPr>
          <w:kern w:val="0"/>
          <w:sz w:val="20"/>
          <w:szCs w:val="20"/>
          <w:lang w:val="fr-FR"/>
        </w:rPr>
      </w:pPr>
      <w:r>
        <w:rPr>
          <w:kern w:val="0"/>
          <w:sz w:val="20"/>
          <w:szCs w:val="20"/>
          <w:lang w:val="fr-FR"/>
        </w:rPr>
        <w:t>环氧乙烷残留（灭菌管制瓶）：≤10μg/g</w:t>
      </w:r>
    </w:p>
    <w:p w14:paraId="48C6921E">
      <w:pPr>
        <w:keepNext/>
        <w:numPr>
          <w:ilvl w:val="2"/>
          <w:numId w:val="11"/>
        </w:numPr>
        <w:bidi w:val="0"/>
        <w:spacing w:before="240" w:beforeLines="0" w:after="60" w:afterLines="0"/>
        <w:outlineLvl w:val="2"/>
        <w:rPr>
          <w:rFonts w:hint="default"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外包装要求</w:t>
      </w:r>
    </w:p>
    <w:p w14:paraId="21C8373E">
      <w:pPr>
        <w:widowControl/>
        <w:numPr>
          <w:ilvl w:val="0"/>
          <w:numId w:val="18"/>
        </w:numPr>
        <w:ind w:left="425" w:leftChars="0" w:hanging="425" w:firstLineChars="0"/>
        <w:jc w:val="left"/>
        <w:rPr>
          <w:rFonts w:hint="default"/>
          <w:kern w:val="0"/>
          <w:sz w:val="20"/>
          <w:szCs w:val="20"/>
          <w:lang w:val="en-US" w:eastAsia="zh-CN"/>
        </w:rPr>
      </w:pPr>
      <w:r>
        <w:rPr>
          <w:rFonts w:hint="eastAsia" w:ascii="Times New Roman" w:eastAsia="宋体"/>
          <w:kern w:val="0"/>
          <w:sz w:val="20"/>
          <w:szCs w:val="20"/>
          <w:lang w:val="en-US" w:eastAsia="zh-CN"/>
        </w:rPr>
        <w:t>纸箱经运输到现场，签收时应保证外包装无污渍，灰尘，颗粒物粘黏。</w:t>
      </w:r>
    </w:p>
    <w:p w14:paraId="605804BB">
      <w:pPr>
        <w:widowControl/>
        <w:numPr>
          <w:ilvl w:val="0"/>
          <w:numId w:val="18"/>
        </w:numPr>
        <w:ind w:left="425" w:leftChars="0" w:hanging="425" w:firstLineChars="0"/>
        <w:jc w:val="left"/>
        <w:rPr>
          <w:rFonts w:hint="default"/>
          <w:kern w:val="0"/>
          <w:sz w:val="20"/>
          <w:szCs w:val="20"/>
          <w:lang w:val="en-US" w:eastAsia="zh-CN"/>
        </w:rPr>
      </w:pPr>
      <w:r>
        <w:rPr>
          <w:rFonts w:hint="default"/>
          <w:kern w:val="0"/>
          <w:sz w:val="20"/>
          <w:szCs w:val="20"/>
          <w:lang w:val="en-US" w:eastAsia="zh-CN"/>
        </w:rPr>
        <w:t>纸箱</w:t>
      </w:r>
      <w:r>
        <w:rPr>
          <w:rFonts w:hint="eastAsia" w:ascii="Times New Roman" w:eastAsia="宋体"/>
          <w:kern w:val="0"/>
          <w:sz w:val="20"/>
          <w:szCs w:val="20"/>
          <w:lang w:val="en-US" w:eastAsia="zh-CN"/>
        </w:rPr>
        <w:t>无</w:t>
      </w:r>
      <w:r>
        <w:rPr>
          <w:rFonts w:hint="default"/>
          <w:kern w:val="0"/>
          <w:sz w:val="20"/>
          <w:szCs w:val="20"/>
          <w:lang w:val="en-US" w:eastAsia="zh-CN"/>
        </w:rPr>
        <w:t>破损、漏底、胶带开裂、打包带脱落</w:t>
      </w:r>
      <w:r>
        <w:rPr>
          <w:rFonts w:hint="eastAsia" w:ascii="Times New Roman" w:eastAsia="宋体"/>
          <w:kern w:val="0"/>
          <w:sz w:val="20"/>
          <w:szCs w:val="20"/>
          <w:lang w:val="en-US" w:eastAsia="zh-CN"/>
        </w:rPr>
        <w:t>情况。</w:t>
      </w:r>
    </w:p>
    <w:p w14:paraId="170188F7">
      <w:pPr>
        <w:widowControl/>
        <w:numPr>
          <w:ilvl w:val="0"/>
          <w:numId w:val="18"/>
        </w:numPr>
        <w:ind w:left="425" w:leftChars="0" w:hanging="425" w:firstLineChars="0"/>
        <w:jc w:val="left"/>
        <w:rPr>
          <w:rFonts w:hint="default"/>
          <w:kern w:val="0"/>
          <w:sz w:val="20"/>
          <w:szCs w:val="20"/>
          <w:lang w:val="en-US" w:eastAsia="zh-CN"/>
        </w:rPr>
      </w:pPr>
      <w:r>
        <w:rPr>
          <w:rFonts w:hint="eastAsia" w:ascii="Times New Roman" w:eastAsia="宋体"/>
          <w:kern w:val="0"/>
          <w:sz w:val="20"/>
          <w:szCs w:val="20"/>
          <w:lang w:val="en-US" w:eastAsia="zh-CN"/>
        </w:rPr>
        <w:t>纸箱材质应防潮。</w:t>
      </w:r>
    </w:p>
    <w:p w14:paraId="73782EA4">
      <w:pPr>
        <w:keepNext/>
        <w:numPr>
          <w:ilvl w:val="0"/>
          <w:numId w:val="11"/>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bookmarkEnd w:id="132"/>
    <w:p w14:paraId="02D0AE7A">
      <w:pPr>
        <w:widowControl/>
        <w:numPr>
          <w:ilvl w:val="0"/>
          <w:numId w:val="19"/>
        </w:numPr>
        <w:tabs>
          <w:tab w:val="left" w:pos="425"/>
        </w:tabs>
        <w:ind w:left="360" w:hanging="360"/>
        <w:jc w:val="left"/>
        <w:rPr>
          <w:rFonts w:hint="eastAsia"/>
          <w:kern w:val="0"/>
          <w:sz w:val="20"/>
          <w:szCs w:val="20"/>
          <w:lang w:val="fr-FR"/>
        </w:rPr>
      </w:pPr>
      <w:r>
        <w:rPr>
          <w:rFonts w:hint="eastAsia" w:ascii="Times New Roman"/>
          <w:kern w:val="0"/>
          <w:sz w:val="20"/>
          <w:szCs w:val="20"/>
          <w:lang w:val="fr-FR"/>
        </w:rPr>
        <w:t>生产厂家年产能应＞1500万瓶。</w:t>
      </w:r>
    </w:p>
    <w:p w14:paraId="396899E2">
      <w:pPr>
        <w:widowControl/>
        <w:numPr>
          <w:ilvl w:val="0"/>
          <w:numId w:val="19"/>
        </w:numPr>
        <w:tabs>
          <w:tab w:val="left" w:pos="425"/>
        </w:tabs>
        <w:ind w:left="360" w:hanging="360"/>
        <w:jc w:val="left"/>
        <w:rPr>
          <w:rFonts w:hint="eastAsia"/>
          <w:kern w:val="0"/>
          <w:sz w:val="20"/>
          <w:szCs w:val="20"/>
          <w:lang w:val="fr-FR"/>
        </w:rPr>
      </w:pPr>
      <w:r>
        <w:rPr>
          <w:rFonts w:hint="eastAsia" w:ascii="Times New Roman"/>
          <w:kern w:val="0"/>
          <w:sz w:val="20"/>
          <w:szCs w:val="20"/>
          <w:lang w:val="fr-FR"/>
        </w:rPr>
        <w:t>管制西林瓶厂家应确保在接收到订单计划后10日内向本公司完成供货。</w:t>
      </w:r>
    </w:p>
    <w:p w14:paraId="6C41063C">
      <w:pPr>
        <w:widowControl/>
        <w:numPr>
          <w:ilvl w:val="0"/>
          <w:numId w:val="19"/>
        </w:numPr>
        <w:tabs>
          <w:tab w:val="left" w:pos="425"/>
        </w:tabs>
        <w:ind w:left="360" w:hanging="360"/>
        <w:jc w:val="left"/>
        <w:rPr>
          <w:rFonts w:hint="eastAsia"/>
          <w:kern w:val="0"/>
          <w:sz w:val="20"/>
          <w:szCs w:val="20"/>
          <w:lang w:val="fr-FR"/>
        </w:rPr>
      </w:pPr>
      <w:r>
        <w:rPr>
          <w:rFonts w:hint="eastAsia" w:ascii="Times New Roman"/>
          <w:kern w:val="0"/>
          <w:sz w:val="20"/>
          <w:szCs w:val="20"/>
          <w:lang w:val="fr-FR"/>
        </w:rPr>
        <w:t>要求送货上门，负责货物的运输和卸货至需方指定位置</w:t>
      </w:r>
      <w:r>
        <w:rPr>
          <w:rFonts w:hint="eastAsia" w:ascii="Times New Roman" w:eastAsia="宋体"/>
          <w:kern w:val="0"/>
          <w:sz w:val="20"/>
          <w:szCs w:val="20"/>
          <w:lang w:val="fr-FR" w:eastAsia="zh-CN"/>
        </w:rPr>
        <w:t>。</w:t>
      </w:r>
    </w:p>
    <w:p w14:paraId="5DE23765">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1E04"/>
    <w:multiLevelType w:val="singleLevel"/>
    <w:tmpl w:val="90D11E04"/>
    <w:lvl w:ilvl="0" w:tentative="0">
      <w:start w:val="1"/>
      <w:numFmt w:val="decimal"/>
      <w:lvlText w:val="%1."/>
      <w:lvlJc w:val="left"/>
      <w:pPr>
        <w:ind w:left="425" w:hanging="425"/>
      </w:pPr>
      <w:rPr>
        <w:rFonts w:hint="default"/>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EC9AF747"/>
    <w:multiLevelType w:val="singleLevel"/>
    <w:tmpl w:val="EC9AF747"/>
    <w:lvl w:ilvl="0" w:tentative="0">
      <w:start w:val="1"/>
      <w:numFmt w:val="decimal"/>
      <w:lvlText w:val="%1."/>
      <w:lvlJc w:val="left"/>
      <w:pPr>
        <w:ind w:left="425" w:hanging="425"/>
      </w:pPr>
      <w:rPr>
        <w:rFonts w:hint="default"/>
      </w:rPr>
    </w:lvl>
  </w:abstractNum>
  <w:abstractNum w:abstractNumId="3">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4">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7">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0DB4F38"/>
    <w:multiLevelType w:val="singleLevel"/>
    <w:tmpl w:val="30DB4F38"/>
    <w:lvl w:ilvl="0" w:tentative="0">
      <w:start w:val="1"/>
      <w:numFmt w:val="decimal"/>
      <w:lvlText w:val="%1."/>
      <w:lvlJc w:val="left"/>
      <w:pPr>
        <w:tabs>
          <w:tab w:val="left" w:pos="425"/>
        </w:tabs>
        <w:ind w:left="425" w:hanging="425"/>
      </w:pPr>
      <w:rPr>
        <w:rFonts w:hint="default"/>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49497272"/>
    <w:multiLevelType w:val="singleLevel"/>
    <w:tmpl w:val="49497272"/>
    <w:lvl w:ilvl="0" w:tentative="0">
      <w:start w:val="1"/>
      <w:numFmt w:val="decimal"/>
      <w:lvlText w:val="%1."/>
      <w:lvlJc w:val="left"/>
      <w:pPr>
        <w:ind w:left="425" w:hanging="425"/>
      </w:pPr>
      <w:rPr>
        <w:rFonts w:hint="default"/>
      </w:rPr>
    </w:lvl>
  </w:abstractNum>
  <w:abstractNum w:abstractNumId="12">
    <w:nsid w:val="4BEAB6E4"/>
    <w:multiLevelType w:val="singleLevel"/>
    <w:tmpl w:val="4BEAB6E4"/>
    <w:lvl w:ilvl="0" w:tentative="0">
      <w:start w:val="1"/>
      <w:numFmt w:val="decimal"/>
      <w:lvlText w:val="%1."/>
      <w:lvlJc w:val="left"/>
      <w:pPr>
        <w:ind w:left="425" w:hanging="425"/>
      </w:pPr>
      <w:rPr>
        <w:rFonts w:hint="default"/>
      </w:rPr>
    </w:lvl>
  </w:abstractNum>
  <w:abstractNum w:abstractNumId="13">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4">
    <w:nsid w:val="6344D464"/>
    <w:multiLevelType w:val="singleLevel"/>
    <w:tmpl w:val="6344D464"/>
    <w:lvl w:ilvl="0" w:tentative="0">
      <w:start w:val="1"/>
      <w:numFmt w:val="decimal"/>
      <w:lvlText w:val="%1."/>
      <w:lvlJc w:val="left"/>
      <w:pPr>
        <w:tabs>
          <w:tab w:val="left" w:pos="425"/>
        </w:tabs>
        <w:ind w:left="425" w:hanging="425"/>
      </w:pPr>
      <w:rPr>
        <w:rFonts w:hint="default"/>
      </w:rPr>
    </w:lvl>
  </w:abstractNum>
  <w:abstractNum w:abstractNumId="15">
    <w:nsid w:val="70E5918F"/>
    <w:multiLevelType w:val="singleLevel"/>
    <w:tmpl w:val="70E5918F"/>
    <w:lvl w:ilvl="0" w:tentative="0">
      <w:start w:val="1"/>
      <w:numFmt w:val="decimal"/>
      <w:lvlText w:val="%1."/>
      <w:lvlJc w:val="left"/>
      <w:pPr>
        <w:ind w:left="425" w:hanging="425"/>
      </w:pPr>
      <w:rPr>
        <w:rFonts w:hint="default"/>
      </w:r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3"/>
  </w:num>
  <w:num w:numId="3">
    <w:abstractNumId w:val="5"/>
  </w:num>
  <w:num w:numId="4">
    <w:abstractNumId w:val="17"/>
  </w:num>
  <w:num w:numId="5">
    <w:abstractNumId w:val="4"/>
  </w:num>
  <w:num w:numId="6">
    <w:abstractNumId w:val="16"/>
  </w:num>
  <w:num w:numId="7">
    <w:abstractNumId w:val="10"/>
  </w:num>
  <w:num w:numId="8">
    <w:abstractNumId w:val="7"/>
  </w:num>
  <w:num w:numId="9">
    <w:abstractNumId w:val="1"/>
  </w:num>
  <w:num w:numId="10">
    <w:abstractNumId w:val="13"/>
  </w:num>
  <w:num w:numId="11">
    <w:abstractNumId w:val="6"/>
  </w:num>
  <w:num w:numId="12">
    <w:abstractNumId w:val="0"/>
  </w:num>
  <w:num w:numId="13">
    <w:abstractNumId w:val="14"/>
  </w:num>
  <w:num w:numId="14">
    <w:abstractNumId w:val="9"/>
  </w:num>
  <w:num w:numId="15">
    <w:abstractNumId w:val="15"/>
  </w:num>
  <w:num w:numId="16">
    <w:abstractNumId w:val="12"/>
  </w:num>
  <w:num w:numId="17">
    <w:abstractNumId w:val="11"/>
  </w:num>
  <w:num w:numId="18">
    <w:abstractNumId w:val="2"/>
  </w:num>
  <w:num w:numId="1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266E2F"/>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0C47B0"/>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3C3A48"/>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167B92"/>
    <w:rsid w:val="3BCD47A7"/>
    <w:rsid w:val="3C440E8D"/>
    <w:rsid w:val="3CC80902"/>
    <w:rsid w:val="3D342B6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7C4D07"/>
    <w:rsid w:val="68DA1A60"/>
    <w:rsid w:val="6A1D6B70"/>
    <w:rsid w:val="6A903AE2"/>
    <w:rsid w:val="6AF56893"/>
    <w:rsid w:val="6B085BBE"/>
    <w:rsid w:val="6B0C4773"/>
    <w:rsid w:val="6B277F37"/>
    <w:rsid w:val="6B6D0C14"/>
    <w:rsid w:val="6B716B29"/>
    <w:rsid w:val="6C741EF9"/>
    <w:rsid w:val="6D094D94"/>
    <w:rsid w:val="6DB0350A"/>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5296</Words>
  <Characters>5653</Characters>
  <Lines>243</Lines>
  <Paragraphs>68</Paragraphs>
  <TotalTime>0</TotalTime>
  <ScaleCrop>false</ScaleCrop>
  <LinksUpToDate>false</LinksUpToDate>
  <CharactersWithSpaces>6420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2026-07-07T02:22:46Z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