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2"/>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9"/>
        <w:spacing w:line="360" w:lineRule="auto"/>
        <w:ind w:left="1440" w:right="-22" w:firstLine="422"/>
        <w:rPr>
          <w:rFonts w:ascii="宋体" w:hAnsi="宋体"/>
          <w:b/>
          <w:szCs w:val="21"/>
          <w:highlight w:val="none"/>
        </w:rPr>
      </w:pPr>
    </w:p>
    <w:p>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WKZB-2025-004</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冷藏专车运输</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9"/>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二</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冷藏专车运输</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WKZB-2025-004</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24469"/>
      <w:bookmarkStart w:id="10" w:name="_Toc5989"/>
      <w:bookmarkStart w:id="11" w:name="_Toc8276"/>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冷藏专车运输</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10698"/>
      <w:bookmarkStart w:id="13" w:name="_Toc2860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冷藏专车运输。</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冷藏专车运输</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963"/>
      <w:bookmarkStart w:id="16" w:name="_Toc23826"/>
      <w:bookmarkStart w:id="17" w:name="_Toc1584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冷藏专车运输</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r>
        <w:rPr>
          <w:rFonts w:hint="eastAsia" w:ascii="宋体" w:hAnsi="宋体" w:cs="宋体"/>
          <w:bCs/>
          <w:color w:val="FF0000"/>
          <w:szCs w:val="21"/>
          <w:highlight w:val="none"/>
          <w:lang w:val="en-US" w:eastAsia="zh-CN"/>
        </w:rPr>
        <w:t>如2024年审计报告未出，可提供供应商自行盖章的财务报表</w:t>
      </w:r>
      <w:r>
        <w:rPr>
          <w:rFonts w:hint="eastAsia" w:ascii="宋体" w:hAnsi="宋体" w:cs="宋体"/>
          <w:bCs/>
          <w:color w:val="FF0000"/>
          <w:szCs w:val="21"/>
          <w:highlight w:val="none"/>
        </w:rPr>
        <w:t>含资产负债表、损益表（利润表）、现金流量表</w:t>
      </w:r>
      <w:r>
        <w:rPr>
          <w:rFonts w:hint="eastAsia" w:ascii="宋体" w:hAnsi="宋体" w:cs="宋体"/>
          <w:bCs/>
          <w:color w:val="FF0000"/>
          <w:szCs w:val="21"/>
          <w:highlight w:val="none"/>
          <w:lang w:eastAsia="zh-CN"/>
        </w:rPr>
        <w:t>，</w:t>
      </w:r>
      <w:r>
        <w:rPr>
          <w:rFonts w:hint="eastAsia" w:ascii="宋体" w:hAnsi="宋体" w:cs="宋体"/>
          <w:bCs/>
          <w:color w:val="FF0000"/>
          <w:szCs w:val="21"/>
          <w:highlight w:val="none"/>
          <w:lang w:val="en-US" w:eastAsia="zh-CN"/>
        </w:rPr>
        <w:t>供应商对其真实性负责。</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7377"/>
      <w:bookmarkStart w:id="19" w:name="_Toc31840"/>
      <w:bookmarkStart w:id="20" w:name="_Toc8299"/>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从 202</w:t>
      </w:r>
      <w:r>
        <w:rPr>
          <w:rFonts w:hint="eastAsia" w:ascii="宋体" w:hAnsi="宋体" w:cs="宋体"/>
          <w:szCs w:val="21"/>
          <w:highlight w:val="yellow"/>
          <w:lang w:val="en-US" w:bidi="zh-CN"/>
        </w:rPr>
        <w:t>5</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2</w:t>
      </w:r>
      <w:r>
        <w:rPr>
          <w:rFonts w:hint="eastAsia" w:ascii="宋体" w:hAnsi="宋体" w:cs="宋体"/>
          <w:szCs w:val="21"/>
          <w:highlight w:val="yellow"/>
          <w:lang w:bidi="zh-CN"/>
        </w:rPr>
        <w:t>月</w:t>
      </w:r>
      <w:r>
        <w:rPr>
          <w:rFonts w:hint="eastAsia" w:ascii="宋体" w:hAnsi="宋体" w:cs="宋体"/>
          <w:szCs w:val="21"/>
          <w:highlight w:val="yellow"/>
          <w:lang w:val="en-US" w:bidi="zh-CN"/>
        </w:rPr>
        <w:t>7</w:t>
      </w:r>
      <w:r>
        <w:rPr>
          <w:rFonts w:hint="eastAsia" w:ascii="宋体" w:hAnsi="宋体" w:cs="宋体"/>
          <w:szCs w:val="21"/>
          <w:highlight w:val="yellow"/>
          <w:lang w:bidi="zh-CN"/>
        </w:rPr>
        <w:t>日</w:t>
      </w:r>
      <w:r>
        <w:rPr>
          <w:rFonts w:hint="eastAsia" w:ascii="宋体" w:hAnsi="宋体" w:cs="宋体"/>
          <w:szCs w:val="21"/>
          <w:highlight w:val="yellow"/>
          <w:lang w:val="zh-CN" w:bidi="zh-CN"/>
        </w:rPr>
        <w:t>到202</w:t>
      </w:r>
      <w:r>
        <w:rPr>
          <w:rFonts w:hint="eastAsia" w:ascii="宋体" w:hAnsi="宋体" w:cs="宋体"/>
          <w:szCs w:val="21"/>
          <w:highlight w:val="yellow"/>
          <w:lang w:val="en-US" w:bidi="zh-CN"/>
        </w:rPr>
        <w:t>5</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2</w:t>
      </w:r>
      <w:r>
        <w:rPr>
          <w:rFonts w:hint="eastAsia" w:ascii="宋体" w:hAnsi="宋体" w:cs="宋体"/>
          <w:szCs w:val="21"/>
          <w:highlight w:val="yellow"/>
          <w:lang w:bidi="zh-CN"/>
        </w:rPr>
        <w:t>月</w:t>
      </w:r>
      <w:r>
        <w:rPr>
          <w:rFonts w:hint="eastAsia" w:ascii="宋体" w:hAnsi="宋体" w:cs="宋体"/>
          <w:szCs w:val="21"/>
          <w:highlight w:val="yellow"/>
          <w:lang w:val="en-US" w:bidi="zh-CN"/>
        </w:rPr>
        <w:t>13</w:t>
      </w:r>
      <w:r>
        <w:rPr>
          <w:rFonts w:hint="eastAsia" w:ascii="宋体" w:hAnsi="宋体" w:cs="宋体"/>
          <w:szCs w:val="21"/>
          <w:highlight w:val="yellow"/>
          <w:lang w:bidi="zh-CN"/>
        </w:rPr>
        <w:t>日</w:t>
      </w:r>
      <w:r>
        <w:rPr>
          <w:rFonts w:hint="eastAsia" w:ascii="宋体" w:hAnsi="宋体" w:cs="宋体"/>
          <w:szCs w:val="21"/>
          <w:highlight w:val="yellow"/>
          <w:lang w:val="zh-CN" w:bidi="zh-CN"/>
        </w:rPr>
        <w:t>（</w:t>
      </w:r>
      <w:r>
        <w:rPr>
          <w:rFonts w:hint="eastAsia" w:ascii="宋体" w:hAnsi="宋体" w:cs="宋体"/>
          <w:szCs w:val="21"/>
          <w:highlight w:val="yellow"/>
          <w:lang w:bidi="zh-CN"/>
        </w:rPr>
        <w:t>每天上午8：30-12：00；下午13：30-1</w:t>
      </w:r>
      <w:r>
        <w:rPr>
          <w:rFonts w:hint="eastAsia" w:ascii="宋体" w:hAnsi="宋体" w:cs="宋体"/>
          <w:szCs w:val="21"/>
          <w:highlight w:val="yellow"/>
          <w:lang w:val="en-US" w:bidi="zh-CN"/>
        </w:rPr>
        <w:t>7</w:t>
      </w:r>
      <w:r>
        <w:rPr>
          <w:rFonts w:hint="eastAsia" w:ascii="宋体" w:hAnsi="宋体" w:cs="宋体"/>
          <w:szCs w:val="21"/>
          <w:highlight w:val="yellow"/>
          <w:lang w:bidi="zh-CN"/>
        </w:rPr>
        <w:t>：</w:t>
      </w:r>
      <w:r>
        <w:rPr>
          <w:rFonts w:hint="eastAsia" w:ascii="宋体" w:hAnsi="宋体" w:cs="宋体"/>
          <w:szCs w:val="21"/>
          <w:highlight w:val="yellow"/>
          <w:lang w:val="en-US" w:bidi="zh-CN"/>
        </w:rPr>
        <w:t>0</w:t>
      </w:r>
      <w:r>
        <w:rPr>
          <w:rFonts w:hint="eastAsia" w:ascii="宋体" w:hAnsi="宋体" w:cs="宋体"/>
          <w:szCs w:val="21"/>
          <w:highlight w:val="yellow"/>
          <w:lang w:bidi="zh-CN"/>
        </w:rPr>
        <w:t>0）</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202</w:t>
      </w:r>
      <w:r>
        <w:rPr>
          <w:rFonts w:hint="eastAsia" w:ascii="宋体" w:hAnsi="宋体" w:cs="宋体"/>
          <w:szCs w:val="21"/>
          <w:highlight w:val="yellow"/>
          <w:lang w:val="en-US" w:bidi="zh-CN"/>
        </w:rPr>
        <w:t>5</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2</w:t>
      </w:r>
      <w:r>
        <w:rPr>
          <w:rFonts w:hint="eastAsia" w:ascii="宋体" w:hAnsi="宋体" w:cs="宋体"/>
          <w:szCs w:val="21"/>
          <w:highlight w:val="yellow"/>
          <w:lang w:bidi="zh-CN"/>
        </w:rPr>
        <w:t>月</w:t>
      </w:r>
      <w:r>
        <w:rPr>
          <w:rFonts w:hint="eastAsia" w:ascii="宋体" w:hAnsi="宋体" w:cs="宋体"/>
          <w:szCs w:val="21"/>
          <w:highlight w:val="yellow"/>
          <w:lang w:val="en-US" w:bidi="zh-CN"/>
        </w:rPr>
        <w:t>13</w:t>
      </w:r>
      <w:r>
        <w:rPr>
          <w:rFonts w:hint="eastAsia" w:ascii="宋体" w:hAnsi="宋体" w:cs="宋体"/>
          <w:szCs w:val="21"/>
          <w:highlight w:val="yellow"/>
          <w:lang w:bidi="zh-CN"/>
        </w:rPr>
        <w:t>日</w:t>
      </w:r>
      <w:r>
        <w:rPr>
          <w:rFonts w:hint="eastAsia" w:ascii="宋体" w:hAnsi="宋体" w:cs="宋体"/>
          <w:szCs w:val="21"/>
          <w:highlight w:val="yellow"/>
          <w:lang w:val="en-US" w:bidi="zh-CN"/>
        </w:rPr>
        <w:t>17</w:t>
      </w:r>
      <w:r>
        <w:rPr>
          <w:rFonts w:hint="eastAsia" w:ascii="宋体" w:hAnsi="宋体" w:cs="宋体"/>
          <w:szCs w:val="21"/>
          <w:highlight w:val="yellow"/>
          <w:lang w:val="zh-CN" w:bidi="zh-CN"/>
        </w:rPr>
        <w:t>时</w:t>
      </w:r>
      <w:r>
        <w:rPr>
          <w:rFonts w:hint="eastAsia" w:ascii="宋体" w:hAnsi="宋体" w:cs="宋体"/>
          <w:szCs w:val="21"/>
          <w:highlight w:val="yellow"/>
          <w:lang w:val="en-US" w:bidi="zh-CN"/>
        </w:rPr>
        <w:t>00</w:t>
      </w:r>
      <w:r>
        <w:rPr>
          <w:rFonts w:hint="eastAsia" w:ascii="宋体" w:hAnsi="宋体" w:cs="宋体"/>
          <w:szCs w:val="21"/>
          <w:highlight w:val="yellow"/>
          <w:lang w:val="zh-CN" w:bidi="zh-CN"/>
        </w:rPr>
        <w:t>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3490"/>
      <w:bookmarkStart w:id="24" w:name="_Toc6081"/>
      <w:bookmarkStart w:id="25" w:name="_Toc28425"/>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11141"/>
      <w:bookmarkStart w:id="27" w:name="_Toc21387"/>
      <w:bookmarkStart w:id="28" w:name="_Toc7374"/>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single"/>
          <w:lang w:val="en-US" w:bidi="zh-CN"/>
        </w:rPr>
        <w:t>2-3名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商入围冷藏专车运输项目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16177"/>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32313"/>
      <w:bookmarkStart w:id="33" w:name="_Toc21816"/>
      <w:bookmarkStart w:id="34" w:name="_Toc24185"/>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慈鹏跃</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w:t>
      </w:r>
      <w:bookmarkStart w:id="415" w:name="_GoBack"/>
      <w:bookmarkEnd w:id="415"/>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hint="eastAsia" w:ascii="宋体" w:hAnsi="宋体" w:cs="宋体"/>
          <w:szCs w:val="21"/>
          <w:highlight w:val="none"/>
          <w:lang w:bidi="zh-CN"/>
        </w:rPr>
        <w:t>cipengyue@sinopharm.com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52042303"/>
      <w:bookmarkStart w:id="36" w:name="_Toc25653"/>
      <w:bookmarkStart w:id="37" w:name="_Toc179632544"/>
      <w:bookmarkStart w:id="38" w:name="_Toc233102490"/>
      <w:bookmarkStart w:id="39" w:name="_Toc109736026"/>
      <w:bookmarkStart w:id="40" w:name="_Toc390940505"/>
      <w:bookmarkStart w:id="41" w:name="_Toc144974495"/>
      <w:bookmarkStart w:id="42" w:name="_Toc152045527"/>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20399"/>
      <w:bookmarkStart w:id="44" w:name="_Toc152042304"/>
      <w:bookmarkStart w:id="45" w:name="_Toc152045528"/>
      <w:bookmarkStart w:id="46" w:name="_Toc18804"/>
      <w:bookmarkStart w:id="47" w:name="_Toc144974496"/>
      <w:bookmarkStart w:id="48" w:name="_Toc179632545"/>
      <w:bookmarkStart w:id="49" w:name="_Toc390940506"/>
      <w:bookmarkStart w:id="50" w:name="_Toc233102491"/>
      <w:bookmarkStart w:id="51" w:name="_Toc109736027"/>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default" w:ascii="宋体" w:hAnsi="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慈鹏跃</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ind w:left="630" w:hanging="630" w:hangingChars="300"/>
              <w:rPr>
                <w:rFonts w:hint="eastAsia"/>
                <w:highlight w:val="none"/>
              </w:rPr>
            </w:pPr>
            <w:r>
              <w:rPr>
                <w:rFonts w:hint="eastAsia"/>
                <w:highlight w:val="none"/>
              </w:rPr>
              <w:t>产负债表、损益表（利润表）、现金流量表，有依法缴纳税收和社会保障资金</w:t>
            </w:r>
          </w:p>
          <w:p>
            <w:pPr>
              <w:spacing w:line="360" w:lineRule="auto"/>
              <w:rPr>
                <w:rFonts w:hint="eastAsia"/>
                <w:highlight w:val="none"/>
              </w:rPr>
            </w:pPr>
            <w:r>
              <w:rPr>
                <w:rFonts w:hint="eastAsia"/>
                <w:highlight w:val="none"/>
              </w:rPr>
              <w:t>良好记录（提供投标截止日前6个月内任意连续3个月已缴凭证）；</w:t>
            </w:r>
            <w:r>
              <w:rPr>
                <w:rFonts w:hint="eastAsia" w:ascii="宋体" w:hAnsi="宋体" w:cs="宋体"/>
                <w:bCs/>
                <w:color w:val="FF0000"/>
                <w:szCs w:val="21"/>
                <w:highlight w:val="none"/>
                <w:lang w:val="en-US" w:eastAsia="zh-CN"/>
              </w:rPr>
              <w:t>如2024年审计报告未出，可提供供应商自行盖章的财务报表</w:t>
            </w:r>
            <w:r>
              <w:rPr>
                <w:rFonts w:hint="eastAsia" w:ascii="宋体" w:hAnsi="宋体" w:cs="宋体"/>
                <w:bCs/>
                <w:color w:val="FF0000"/>
                <w:szCs w:val="21"/>
                <w:highlight w:val="none"/>
              </w:rPr>
              <w:t>含资产负债表、损益表（利润表）、现金流量表</w:t>
            </w:r>
            <w:r>
              <w:rPr>
                <w:rFonts w:hint="eastAsia" w:ascii="宋体" w:hAnsi="宋体" w:cs="宋体"/>
                <w:bCs/>
                <w:color w:val="FF0000"/>
                <w:szCs w:val="21"/>
                <w:highlight w:val="none"/>
                <w:lang w:eastAsia="zh-CN"/>
              </w:rPr>
              <w:t>，</w:t>
            </w:r>
            <w:r>
              <w:rPr>
                <w:rFonts w:hint="eastAsia" w:ascii="宋体" w:hAnsi="宋体" w:cs="宋体"/>
                <w:bCs/>
                <w:color w:val="FF0000"/>
                <w:szCs w:val="21"/>
                <w:highlight w:val="none"/>
                <w:lang w:val="en-US" w:eastAsia="zh-CN"/>
              </w:rPr>
              <w:t>供应商对其真实性负责。</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202</w:t>
            </w:r>
            <w:r>
              <w:rPr>
                <w:rFonts w:hint="eastAsia" w:ascii="宋体" w:hAnsi="宋体"/>
                <w:b/>
                <w:bCs/>
                <w:szCs w:val="21"/>
                <w:highlight w:val="yellow"/>
                <w:u w:val="single"/>
                <w:lang w:val="en-US" w:eastAsia="zh-CN"/>
              </w:rPr>
              <w:t>5</w:t>
            </w:r>
            <w:r>
              <w:rPr>
                <w:rFonts w:hint="eastAsia" w:ascii="宋体" w:hAnsi="宋体"/>
                <w:b/>
                <w:bCs/>
                <w:szCs w:val="21"/>
                <w:highlight w:val="yellow"/>
                <w:u w:val="single"/>
              </w:rPr>
              <w:t>年</w:t>
            </w:r>
            <w:r>
              <w:rPr>
                <w:rFonts w:hint="eastAsia" w:ascii="宋体" w:hAnsi="宋体" w:cs="宋体"/>
                <w:szCs w:val="21"/>
                <w:highlight w:val="yellow"/>
                <w:lang w:val="en-US" w:bidi="zh-CN"/>
              </w:rPr>
              <w:t>2</w:t>
            </w:r>
            <w:r>
              <w:rPr>
                <w:rFonts w:hint="eastAsia" w:ascii="宋体" w:hAnsi="宋体"/>
                <w:b/>
                <w:bCs/>
                <w:szCs w:val="21"/>
                <w:highlight w:val="yellow"/>
                <w:u w:val="single"/>
              </w:rPr>
              <w:t>月</w:t>
            </w:r>
            <w:r>
              <w:rPr>
                <w:rFonts w:hint="eastAsia" w:ascii="宋体" w:hAnsi="宋体" w:cs="宋体"/>
                <w:szCs w:val="21"/>
                <w:highlight w:val="yellow"/>
                <w:lang w:val="en-US" w:bidi="zh-CN"/>
              </w:rPr>
              <w:t>13</w:t>
            </w:r>
            <w:r>
              <w:rPr>
                <w:rFonts w:hint="eastAsia" w:ascii="宋体" w:hAnsi="宋体"/>
                <w:b/>
                <w:bCs/>
                <w:szCs w:val="21"/>
                <w:highlight w:val="yellow"/>
                <w:u w:val="single"/>
              </w:rPr>
              <w:t>日</w:t>
            </w:r>
            <w:r>
              <w:rPr>
                <w:rFonts w:hint="eastAsia" w:ascii="宋体" w:hAnsi="宋体"/>
                <w:b/>
                <w:bCs/>
                <w:szCs w:val="21"/>
                <w:highlight w:val="yellow"/>
                <w:u w:val="single"/>
                <w:lang w:val="en-US" w:eastAsia="zh-CN"/>
              </w:rPr>
              <w:t xml:space="preserve"> 下</w:t>
            </w:r>
            <w:r>
              <w:rPr>
                <w:rFonts w:hint="eastAsia" w:ascii="宋体" w:hAnsi="宋体"/>
                <w:b/>
                <w:bCs/>
                <w:szCs w:val="21"/>
                <w:highlight w:val="yellow"/>
                <w:u w:val="single"/>
              </w:rPr>
              <w:t>午1</w:t>
            </w:r>
            <w:r>
              <w:rPr>
                <w:rFonts w:hint="eastAsia" w:ascii="宋体" w:hAnsi="宋体"/>
                <w:b/>
                <w:bCs/>
                <w:szCs w:val="21"/>
                <w:highlight w:val="yellow"/>
                <w:u w:val="single"/>
                <w:lang w:val="en-US" w:eastAsia="zh-CN"/>
              </w:rPr>
              <w:t>7</w:t>
            </w:r>
            <w:r>
              <w:rPr>
                <w:rFonts w:hint="eastAsia" w:ascii="宋体" w:hAnsi="宋体"/>
                <w:b/>
                <w:bCs/>
                <w:szCs w:val="21"/>
                <w:highlight w:val="yellow"/>
                <w:u w:val="single"/>
              </w:rPr>
              <w:t>:</w:t>
            </w:r>
            <w:r>
              <w:rPr>
                <w:rFonts w:hint="eastAsia" w:ascii="宋体" w:hAnsi="宋体"/>
                <w:b/>
                <w:bCs/>
                <w:szCs w:val="21"/>
                <w:highlight w:val="yellow"/>
                <w:u w:val="single"/>
                <w:lang w:val="en-US" w:eastAsia="zh-CN"/>
              </w:rPr>
              <w:t>0</w:t>
            </w:r>
            <w:r>
              <w:rPr>
                <w:rFonts w:hint="eastAsia" w:ascii="宋体" w:hAnsi="宋体"/>
                <w:b/>
                <w:bCs/>
                <w:szCs w:val="21"/>
                <w:highlight w:val="yellow"/>
                <w:u w:val="single"/>
              </w:rPr>
              <w:t>0</w:t>
            </w:r>
            <w:r>
              <w:rPr>
                <w:rFonts w:hint="eastAsia" w:ascii="宋体" w:hAnsi="宋体"/>
                <w:szCs w:val="21"/>
                <w:highlight w:val="yellow"/>
              </w:rPr>
              <w:t>（北京时间）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u w:val="single"/>
                <w:lang w:val="en-US" w:eastAsia="zh-CN"/>
              </w:rPr>
              <w:t>2-3</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服务期限：合同签订之日起</w:t>
            </w:r>
            <w:r>
              <w:rPr>
                <w:rFonts w:hint="eastAsia" w:ascii="宋体" w:hAnsi="宋体" w:cs="宋体"/>
                <w:szCs w:val="21"/>
                <w:highlight w:val="none"/>
                <w:u w:val="none"/>
                <w:lang w:val="en-US" w:bidi="zh-CN"/>
              </w:rPr>
              <w:t>1年</w:t>
            </w:r>
            <w:r>
              <w:rPr>
                <w:rFonts w:hint="eastAsia"/>
                <w:highlight w:val="none"/>
              </w:rPr>
              <w:t>。</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3"/>
        <w:spacing w:before="0" w:line="360" w:lineRule="auto"/>
        <w:ind w:left="0" w:leftChars="0" w:firstLine="0" w:firstLineChars="0"/>
        <w:jc w:val="both"/>
        <w:outlineLvl w:val="9"/>
        <w:rPr>
          <w:rFonts w:hint="eastAsia" w:ascii="宋体" w:hAnsi="宋体" w:eastAsia="宋体"/>
          <w:sz w:val="24"/>
          <w:szCs w:val="24"/>
          <w:highlight w:val="none"/>
        </w:rPr>
      </w:pPr>
      <w:bookmarkStart w:id="52" w:name="_Toc216582805"/>
      <w:bookmarkStart w:id="53" w:name="_Toc520356143"/>
      <w:bookmarkStart w:id="54" w:name="_Toc109736028"/>
      <w:bookmarkStart w:id="55" w:name="_Toc144974497"/>
      <w:bookmarkStart w:id="56" w:name="_Toc179632546"/>
      <w:bookmarkStart w:id="57" w:name="_Toc233102492"/>
      <w:bookmarkStart w:id="58" w:name="_Toc152045529"/>
      <w:bookmarkStart w:id="59" w:name="_Toc152042305"/>
    </w:p>
    <w:p>
      <w:pPr>
        <w:pStyle w:val="3"/>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27571"/>
      <w:bookmarkStart w:id="62" w:name="_Toc17941"/>
      <w:bookmarkStart w:id="63" w:name="_Toc520356144"/>
      <w:bookmarkStart w:id="64" w:name="_Toc109736029"/>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29658"/>
      <w:bookmarkStart w:id="67" w:name="_Toc541"/>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205"/>
      <w:bookmarkStart w:id="69" w:name="_Toc30223"/>
      <w:bookmarkStart w:id="70" w:name="_Toc109736031"/>
      <w:bookmarkStart w:id="71" w:name="_Toc520356145"/>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472"/>
      <w:bookmarkStart w:id="73" w:name="_Toc109736032"/>
      <w:bookmarkStart w:id="74" w:name="_Toc27623"/>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3"/>
        <w:spacing w:before="0" w:line="360" w:lineRule="auto"/>
        <w:jc w:val="center"/>
        <w:rPr>
          <w:rFonts w:hint="eastAsia" w:ascii="宋体" w:hAnsi="宋体" w:eastAsia="宋体"/>
          <w:sz w:val="24"/>
          <w:szCs w:val="24"/>
          <w:highlight w:val="none"/>
        </w:rPr>
      </w:pPr>
      <w:bookmarkStart w:id="75" w:name="_Toc520356146"/>
      <w:bookmarkStart w:id="76" w:name="_Toc1810"/>
      <w:bookmarkStart w:id="77" w:name="_Toc109736033"/>
      <w:bookmarkStart w:id="78" w:name="_Toc21658280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109736034"/>
      <w:bookmarkStart w:id="80" w:name="_Toc520356147"/>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Ref467378678"/>
      <w:bookmarkStart w:id="84" w:name="_Toc109736036"/>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3"/>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109736038"/>
      <w:bookmarkStart w:id="92" w:name="_Toc516367021"/>
      <w:bookmarkStart w:id="93" w:name="_Toc52035615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Toc516367022"/>
      <w:bookmarkStart w:id="96" w:name="_Ref467306195"/>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109736040"/>
      <w:bookmarkStart w:id="103" w:name="_Toc520356153"/>
      <w:bookmarkStart w:id="104" w:name="_Toc51636702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520356156"/>
      <w:bookmarkStart w:id="109" w:name="_Ref467306513"/>
      <w:bookmarkStart w:id="110" w:name="_Toc109736042"/>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520356159"/>
      <w:bookmarkStart w:id="118" w:name="_Toc109736045"/>
      <w:bookmarkStart w:id="119" w:name="_Toc216582808"/>
      <w:bookmarkStart w:id="120" w:name="_Toc23629"/>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520356160"/>
      <w:bookmarkStart w:id="122" w:name="_Toc109736046"/>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520356161"/>
      <w:bookmarkStart w:id="124" w:name="_Toc109736047"/>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109736048"/>
      <w:bookmarkStart w:id="126" w:name="_Toc520356162"/>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3"/>
        <w:spacing w:before="0" w:line="360" w:lineRule="auto"/>
        <w:jc w:val="center"/>
        <w:rPr>
          <w:rFonts w:hint="eastAsia" w:ascii="宋体" w:hAnsi="宋体" w:eastAsia="宋体"/>
          <w:sz w:val="24"/>
          <w:szCs w:val="24"/>
          <w:highlight w:val="none"/>
        </w:rPr>
      </w:pPr>
      <w:bookmarkStart w:id="127" w:name="_Toc109736049"/>
      <w:bookmarkStart w:id="128" w:name="_Toc23762"/>
      <w:bookmarkStart w:id="129" w:name="_Toc520356163"/>
      <w:bookmarkStart w:id="130" w:name="_Toc216582809"/>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520356164"/>
      <w:bookmarkStart w:id="132" w:name="_Toc109736050"/>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3"/>
        <w:spacing w:before="0" w:line="360" w:lineRule="auto"/>
        <w:jc w:val="center"/>
        <w:rPr>
          <w:rFonts w:hint="eastAsia" w:ascii="宋体" w:hAnsi="宋体" w:eastAsia="宋体"/>
          <w:sz w:val="24"/>
          <w:szCs w:val="24"/>
          <w:highlight w:val="none"/>
        </w:rPr>
      </w:pPr>
      <w:bookmarkStart w:id="142" w:name="_Toc6900"/>
      <w:bookmarkStart w:id="143" w:name="_Toc109736055"/>
      <w:bookmarkStart w:id="144" w:name="_Toc21658281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109736056"/>
      <w:bookmarkStart w:id="146" w:name="_Ref467307010"/>
      <w:bookmarkStart w:id="147" w:name="_Toc52035617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6377"/>
      <w:bookmarkStart w:id="156" w:name="_Ref467307062"/>
      <w:bookmarkStart w:id="157" w:name="_Toc520356175"/>
      <w:bookmarkStart w:id="158" w:name="_Ref467306978"/>
      <w:bookmarkStart w:id="159" w:name="_Ref467307204"/>
      <w:bookmarkStart w:id="160" w:name="_Toc10973606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6425"/>
      <w:bookmarkStart w:id="163" w:name="_Ref467307090"/>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3"/>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8463"/>
      <w:bookmarkStart w:id="172" w:name="_Ref467379195"/>
      <w:bookmarkStart w:id="173" w:name="_Ref467379094"/>
      <w:bookmarkStart w:id="174" w:name="_Ref467379225"/>
      <w:bookmarkStart w:id="175" w:name="_Ref467379205"/>
      <w:bookmarkStart w:id="176" w:name="_Ref467379101"/>
      <w:bookmarkStart w:id="177" w:name="_Toc415222497"/>
      <w:bookmarkStart w:id="178" w:name="_Toc487900349"/>
      <w:bookmarkStart w:id="179" w:name="_Ref467379109"/>
      <w:bookmarkStart w:id="180" w:name="_Ref467378499"/>
      <w:bookmarkStart w:id="181" w:name="_Ref467379214"/>
      <w:bookmarkStart w:id="182" w:name="_Ref467378404"/>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10889"/>
      <w:bookmarkStart w:id="189" w:name="_Toc487900350"/>
      <w:bookmarkStart w:id="190" w:name="_Toc415222498"/>
      <w:bookmarkStart w:id="191" w:name="_Toc31740"/>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487900351"/>
      <w:bookmarkStart w:id="193" w:name="_Toc415222499"/>
      <w:bookmarkStart w:id="194" w:name="_Toc2425"/>
      <w:bookmarkStart w:id="195" w:name="_Toc10492"/>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15222500"/>
      <w:bookmarkStart w:id="197" w:name="_Toc487900352"/>
      <w:bookmarkStart w:id="198" w:name="_Toc4693"/>
      <w:bookmarkStart w:id="199" w:name="_Toc18031"/>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87900353"/>
      <w:bookmarkStart w:id="201" w:name="_Toc1323"/>
      <w:bookmarkStart w:id="202" w:name="_Toc415222501"/>
      <w:bookmarkStart w:id="203" w:name="_Toc17967"/>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Toc415222502"/>
      <w:bookmarkStart w:id="205" w:name="_Toc18715"/>
      <w:bookmarkStart w:id="206" w:name="_Toc487900354"/>
      <w:bookmarkStart w:id="207" w:name="_Ref467378541"/>
      <w:bookmarkStart w:id="208" w:name="_Ref467379536"/>
      <w:bookmarkStart w:id="209" w:name="_Ref467378591"/>
      <w:bookmarkStart w:id="210" w:name="_Ref467379542"/>
      <w:bookmarkStart w:id="211" w:name="_Ref467379527"/>
      <w:bookmarkStart w:id="212" w:name="_Toc11864"/>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487900355"/>
      <w:bookmarkStart w:id="215" w:name="_Toc6625"/>
      <w:bookmarkStart w:id="216" w:name="_Toc12437"/>
      <w:bookmarkStart w:id="217" w:name="_Toc415222503"/>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Ref467379793"/>
      <w:bookmarkStart w:id="219" w:name="_Toc15361"/>
      <w:bookmarkStart w:id="220" w:name="_Toc415222504"/>
      <w:bookmarkStart w:id="221" w:name="_Ref467379807"/>
      <w:bookmarkStart w:id="222" w:name="_Toc487900357"/>
      <w:bookmarkStart w:id="223" w:name="_Toc2633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Toc415222505"/>
      <w:bookmarkStart w:id="225" w:name="_Ref467379863"/>
      <w:bookmarkStart w:id="226" w:name="_Toc487900358"/>
      <w:bookmarkStart w:id="227" w:name="_Toc1380"/>
      <w:bookmarkStart w:id="228" w:name="_Ref467379923"/>
      <w:bookmarkStart w:id="229" w:name="_Toc6588"/>
      <w:bookmarkStart w:id="230" w:name="_Ref467379852"/>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Toc15447"/>
      <w:bookmarkStart w:id="232" w:name="_Ref467379937"/>
      <w:bookmarkStart w:id="233" w:name="_Ref467377962"/>
      <w:bookmarkStart w:id="234" w:name="_Toc28649"/>
      <w:bookmarkStart w:id="235" w:name="_Toc415222506"/>
      <w:bookmarkStart w:id="236" w:name="_Ref467379946"/>
      <w:bookmarkStart w:id="237" w:name="_Toc487900359"/>
      <w:bookmarkStart w:id="238" w:name="_Ref467377798"/>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Ref467378018"/>
      <w:bookmarkStart w:id="240" w:name="_Toc487900360"/>
      <w:bookmarkStart w:id="241" w:name="_Toc7155"/>
      <w:bookmarkStart w:id="242" w:name="_Toc11317"/>
      <w:bookmarkStart w:id="243" w:name="_Toc41522250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21509"/>
      <w:bookmarkStart w:id="245" w:name="_Toc415222508"/>
      <w:bookmarkStart w:id="246" w:name="_Toc31728"/>
      <w:bookmarkStart w:id="247" w:name="_Toc487900361"/>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31482"/>
      <w:bookmarkStart w:id="250" w:name="_Toc415222509"/>
      <w:bookmarkStart w:id="251" w:name="_Toc15086"/>
      <w:bookmarkStart w:id="252" w:name="_Toc48790036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487900363"/>
      <w:bookmarkStart w:id="254" w:name="_Toc415222510"/>
      <w:bookmarkStart w:id="255" w:name="_Toc3725"/>
      <w:bookmarkStart w:id="256" w:name="_Toc19929"/>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487900364"/>
      <w:bookmarkStart w:id="258" w:name="_Toc22040"/>
      <w:bookmarkStart w:id="259" w:name="_Toc415222511"/>
      <w:bookmarkStart w:id="260" w:name="_Toc6322"/>
      <w:bookmarkStart w:id="261" w:name="_Ref467378121"/>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15222512"/>
      <w:bookmarkStart w:id="263" w:name="_Toc487900365"/>
      <w:bookmarkStart w:id="264" w:name="_Toc1755"/>
      <w:bookmarkStart w:id="265" w:name="_Toc29320"/>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17669"/>
      <w:bookmarkStart w:id="269" w:name="_Toc21788"/>
      <w:bookmarkStart w:id="270" w:name="_Toc415222513"/>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9543"/>
      <w:bookmarkStart w:id="272" w:name="_Toc487900367"/>
      <w:bookmarkStart w:id="273" w:name="_Toc415222514"/>
      <w:bookmarkStart w:id="274" w:name="_Toc16231"/>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22065"/>
      <w:bookmarkStart w:id="277" w:name="_Toc487900368"/>
      <w:bookmarkStart w:id="278" w:name="_Toc23904"/>
      <w:bookmarkStart w:id="279" w:name="_Toc41522251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487900369"/>
      <w:bookmarkStart w:id="281" w:name="_Toc29725"/>
      <w:bookmarkStart w:id="282" w:name="_Toc10385"/>
      <w:bookmarkStart w:id="283" w:name="_Toc415222516"/>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487900370"/>
      <w:bookmarkStart w:id="285" w:name="_Toc2142"/>
      <w:bookmarkStart w:id="286" w:name="_Toc13194"/>
      <w:bookmarkStart w:id="287" w:name="_Toc415222517"/>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14345"/>
      <w:bookmarkStart w:id="289" w:name="_Toc415222518"/>
      <w:bookmarkStart w:id="290" w:name="_Toc737"/>
      <w:bookmarkStart w:id="291" w:name="_Toc487900371"/>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87900372"/>
      <w:bookmarkStart w:id="293" w:name="_Toc415222519"/>
      <w:bookmarkStart w:id="294" w:name="_Toc30523"/>
      <w:bookmarkStart w:id="295" w:name="_Toc27508"/>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8567"/>
      <w:bookmarkStart w:id="297" w:name="_Toc487900373"/>
      <w:bookmarkStart w:id="298" w:name="_Toc23747"/>
      <w:bookmarkStart w:id="299" w:name="_Toc415222520"/>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26432"/>
      <w:bookmarkStart w:id="301" w:name="_Toc5896"/>
      <w:bookmarkStart w:id="302" w:name="_Toc415222521"/>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26939"/>
      <w:bookmarkStart w:id="305" w:name="_Toc31958"/>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6513786"/>
      <w:bookmarkStart w:id="308" w:name="_Toc219175623"/>
      <w:bookmarkStart w:id="309" w:name="_Toc218935339"/>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3"/>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9"/>
        <w:spacing w:line="360" w:lineRule="auto"/>
        <w:ind w:left="540" w:leftChars="257"/>
        <w:rPr>
          <w:rFonts w:hint="eastAsia" w:ascii="宋体" w:hAnsi="宋体" w:cs="宋体"/>
          <w:szCs w:val="21"/>
          <w:highlight w:val="none"/>
        </w:rPr>
      </w:pPr>
    </w:p>
    <w:p>
      <w:pPr>
        <w:pStyle w:val="9"/>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19175636"/>
      <w:bookmarkStart w:id="314" w:name="_Toc27454"/>
      <w:bookmarkStart w:id="315" w:name="_Toc220229326"/>
      <w:bookmarkStart w:id="316" w:name="_Toc15903"/>
      <w:bookmarkStart w:id="317" w:name="_Toc220229431"/>
      <w:bookmarkStart w:id="318" w:name="_Toc218935352"/>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19863"/>
      <w:bookmarkStart w:id="320" w:name="_Toc7540"/>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13500"/>
      <w:bookmarkStart w:id="324" w:name="_Toc22189"/>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3"/>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w:t>
      </w:r>
      <w:r>
        <w:rPr>
          <w:rFonts w:hint="eastAsia" w:ascii="宋体" w:hAnsi="宋体"/>
          <w:szCs w:val="21"/>
          <w:highlight w:val="none"/>
          <w:lang w:val="en-US" w:eastAsia="zh-CN"/>
        </w:rPr>
        <w:t>冷藏专车运输承运人负责货物装上车辆，卸货至收货人指定地点。</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每单货运指令完成后，承运人将收货人签收联、运输全程温度记录等文件提交委托人，委托人验收确认后，承运人开具运费发票，款期3个月。</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eastAsia" w:ascii="宋体" w:hAnsi="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如因运输质量造成时效、产品外观等损失，委托方向承运人索赔。</w:t>
      </w:r>
    </w:p>
    <w:p>
      <w:pPr>
        <w:spacing w:before="120" w:line="360" w:lineRule="exact"/>
        <w:rPr>
          <w:rFonts w:ascii="宋体" w:hAnsi="宋体"/>
          <w:szCs w:val="21"/>
          <w:highlight w:val="none"/>
        </w:rPr>
      </w:pPr>
      <w:r>
        <w:rPr>
          <w:rFonts w:hint="eastAsia" w:ascii="宋体" w:hAnsi="宋体"/>
          <w:szCs w:val="21"/>
          <w:highlight w:val="none"/>
        </w:rPr>
        <w:t>12.3索赔通知期限：</w:t>
      </w:r>
      <w:r>
        <w:rPr>
          <w:rFonts w:hint="eastAsia" w:ascii="宋体" w:hAnsi="宋体"/>
          <w:szCs w:val="21"/>
          <w:highlight w:val="none"/>
          <w:lang w:val="en-US" w:eastAsia="zh-CN"/>
        </w:rPr>
        <w:t>6</w:t>
      </w:r>
      <w:r>
        <w:rPr>
          <w:rFonts w:hint="eastAsia" w:ascii="宋体" w:hAnsi="宋体"/>
          <w:szCs w:val="21"/>
          <w:highlight w:val="none"/>
        </w:rPr>
        <w:t>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2"/>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2"/>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3"/>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Toc480942349"/>
      <w:bookmarkStart w:id="336" w:name="_Ref467988698"/>
      <w:bookmarkStart w:id="337" w:name="_Toc520356217"/>
      <w:bookmarkStart w:id="338" w:name="_Toc109736069"/>
      <w:bookmarkStart w:id="339" w:name="_Toc5329"/>
      <w:bookmarkStart w:id="340" w:name="_Toc415222524"/>
      <w:bookmarkStart w:id="341" w:name="_Toc216582813"/>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3"/>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480942350"/>
      <w:bookmarkStart w:id="346" w:name="_Toc109736070"/>
      <w:bookmarkStart w:id="347" w:name="_Toc216582814"/>
      <w:bookmarkStart w:id="348" w:name="_Toc29788"/>
      <w:bookmarkStart w:id="349" w:name="_Ref467988705"/>
      <w:bookmarkStart w:id="350" w:name="_Toc520356218"/>
      <w:bookmarkStart w:id="351" w:name="_Toc415222525"/>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冷藏专车运输</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WKZB-2025-004</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p>
    <w:tbl>
      <w:tblPr>
        <w:tblStyle w:val="51"/>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384"/>
        <w:gridCol w:w="2039"/>
        <w:gridCol w:w="2978"/>
        <w:gridCol w:w="2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627" w:type="pct"/>
            <w:vAlign w:val="center"/>
          </w:tcPr>
          <w:p>
            <w:pPr>
              <w:spacing w:line="380" w:lineRule="exact"/>
              <w:jc w:val="center"/>
              <w:rPr>
                <w:rFonts w:ascii="仿宋" w:hAnsi="仿宋" w:eastAsia="仿宋" w:cs="仿宋"/>
                <w:sz w:val="24"/>
                <w:highlight w:val="none"/>
              </w:rPr>
            </w:pPr>
          </w:p>
        </w:tc>
        <w:tc>
          <w:tcPr>
            <w:tcW w:w="716"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1055"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/公里</w:t>
            </w:r>
            <w:r>
              <w:rPr>
                <w:rFonts w:hint="eastAsia" w:ascii="仿宋" w:hAnsi="仿宋" w:eastAsia="仿宋" w:cs="仿宋"/>
                <w:sz w:val="24"/>
                <w:highlight w:val="none"/>
              </w:rPr>
              <w:t>）</w:t>
            </w:r>
          </w:p>
        </w:tc>
        <w:tc>
          <w:tcPr>
            <w:tcW w:w="1541"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可装运货物体积（立方米）</w:t>
            </w:r>
          </w:p>
        </w:tc>
        <w:tc>
          <w:tcPr>
            <w:tcW w:w="1059" w:type="pct"/>
            <w:vAlign w:val="center"/>
          </w:tcPr>
          <w:p>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1" w:hRule="atLeast"/>
          <w:jc w:val="center"/>
        </w:trPr>
        <w:tc>
          <w:tcPr>
            <w:tcW w:w="627"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冷藏专车运输</w:t>
            </w:r>
          </w:p>
        </w:tc>
        <w:tc>
          <w:tcPr>
            <w:tcW w:w="716"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4.2米冷藏车</w:t>
            </w:r>
          </w:p>
        </w:tc>
        <w:tc>
          <w:tcPr>
            <w:tcW w:w="1055"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1541"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05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冷藏专车运输</w:t>
            </w:r>
          </w:p>
        </w:tc>
        <w:tc>
          <w:tcPr>
            <w:tcW w:w="716"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6.8米或7.2米冷藏车</w:t>
            </w:r>
          </w:p>
        </w:tc>
        <w:tc>
          <w:tcPr>
            <w:tcW w:w="1055"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1541"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05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冷藏专车运输</w:t>
            </w:r>
          </w:p>
        </w:tc>
        <w:tc>
          <w:tcPr>
            <w:tcW w:w="716"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9.6米冷藏车</w:t>
            </w:r>
          </w:p>
        </w:tc>
        <w:tc>
          <w:tcPr>
            <w:tcW w:w="1055"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1541"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05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none"/>
                <w:lang w:val="en-US" w:eastAsia="zh-CN"/>
              </w:rPr>
            </w:pPr>
          </w:p>
        </w:tc>
        <w:tc>
          <w:tcPr>
            <w:tcW w:w="716"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其他规格（如有）</w:t>
            </w:r>
          </w:p>
        </w:tc>
        <w:tc>
          <w:tcPr>
            <w:tcW w:w="1055"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1541"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05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至1年</w:t>
            </w:r>
            <w:r>
              <w:rPr>
                <w:rFonts w:hint="eastAsia"/>
                <w:highlight w:val="none"/>
              </w:rPr>
              <w:t>。</w:t>
            </w:r>
          </w:p>
          <w:p>
            <w:pPr>
              <w:pStyle w:val="20"/>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5000" w:type="pct"/>
            <w:gridSpan w:val="5"/>
            <w:vAlign w:val="center"/>
          </w:tcPr>
          <w:p>
            <w:pPr>
              <w:pStyle w:val="25"/>
              <w:tabs>
                <w:tab w:val="left" w:pos="5580"/>
              </w:tabs>
              <w:spacing w:line="360" w:lineRule="auto"/>
              <w:jc w:val="left"/>
              <w:rPr>
                <w:rFonts w:hint="default" w:hAnsi="宋体" w:eastAsia="宋体"/>
                <w:b/>
                <w:bCs/>
                <w:szCs w:val="21"/>
                <w:highlight w:val="none"/>
                <w:lang w:val="en-US" w:eastAsia="zh-CN"/>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w:t>
            </w:r>
            <w:r>
              <w:rPr>
                <w:rFonts w:hint="eastAsia" w:hAnsi="宋体"/>
                <w:b/>
                <w:bCs/>
                <w:szCs w:val="21"/>
                <w:highlight w:val="none"/>
                <w:lang w:val="en-US" w:eastAsia="zh-CN"/>
              </w:rPr>
              <w:t>运输，装车、卸车等一切费用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ascii="宋体" w:hAnsi="宋体" w:eastAsia="宋体"/>
          <w:sz w:val="21"/>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415222529"/>
      <w:bookmarkStart w:id="353" w:name="_Toc109736072"/>
      <w:bookmarkStart w:id="354" w:name="_Toc216582818"/>
    </w:p>
    <w:p>
      <w:pPr>
        <w:rPr>
          <w:rFonts w:hint="eastAsia" w:ascii="宋体" w:hAnsi="宋体" w:eastAsia="宋体"/>
          <w:sz w:val="21"/>
          <w:szCs w:val="21"/>
          <w:highlight w:val="none"/>
        </w:rPr>
      </w:pPr>
    </w:p>
    <w:p>
      <w:pPr>
        <w:pStyle w:val="3"/>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br w:type="page"/>
      </w: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冷藏专车运输</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WKZB-2025-004</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jc w:val="left"/>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每单货运指令完成后，承运人将收货人签收联、运输全程温度记录等文件提交委托人验收。</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8</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委托人验收确认后，承运人开具运费发票，款期3个月。</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10</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报价有效期、服务期1年</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（其他内容自行填写）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415222528"/>
      <w:bookmarkStart w:id="358" w:name="_Toc216582817"/>
      <w:bookmarkStart w:id="359" w:name="_Toc109736073"/>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冷藏专车运输</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WKZB-2025-004</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至少应包含对用户需求中技术指标、质量要求的响应情况</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Toc480942355"/>
      <w:bookmarkStart w:id="361" w:name="_Ref467988543"/>
      <w:bookmarkStart w:id="362" w:name="_Toc520356224"/>
      <w:bookmarkStart w:id="363" w:name="_Toc13093"/>
      <w:bookmarkStart w:id="364" w:name="_Toc415222530"/>
      <w:bookmarkStart w:id="365" w:name="_Toc216582819"/>
      <w:bookmarkStart w:id="366" w:name="_Toc109736074"/>
      <w:r>
        <w:rPr>
          <w:rFonts w:hint="eastAsia" w:ascii="宋体" w:hAnsi="宋体" w:eastAsia="宋体"/>
          <w:sz w:val="21"/>
          <w:szCs w:val="21"/>
          <w:highlight w:val="none"/>
        </w:rPr>
        <w:br w:type="page"/>
      </w:r>
    </w:p>
    <w:p>
      <w:pPr>
        <w:pStyle w:val="3"/>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vMerge w:val="restart"/>
            <w:tcBorders>
              <w:top w:val="single" w:color="auto" w:sz="6" w:space="0"/>
              <w:left w:val="double" w:color="auto" w:sz="4"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冷藏专车情况</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自有车辆数量</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XX规格/XX辆</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自有车辆提供车辆登记证复印件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vMerge w:val="continue"/>
            <w:tcBorders>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rPr>
            </w:pPr>
            <w:r>
              <w:rPr>
                <w:rFonts w:hint="eastAsia" w:asciiTheme="minorEastAsia" w:hAnsiTheme="minorEastAsia" w:eastAsiaTheme="minorEastAsia"/>
                <w:szCs w:val="21"/>
                <w:lang w:val="en-US" w:eastAsia="zh-CN"/>
              </w:rPr>
              <w:t>其他可调配车辆数量</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XX规格/XX辆</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其他车辆提供租赁等合作协议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本项目营业执照、道路运输许可证、至少5名司机从业许可证、健康证为必须，其余供应商酌情提供。证书复印件加盖公章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343000"/>
      <w:bookmarkEnd w:id="369"/>
      <w:bookmarkStart w:id="370" w:name="_Hlt520274121"/>
      <w:bookmarkEnd w:id="370"/>
      <w:bookmarkStart w:id="371" w:name="_Hlt520350957"/>
      <w:bookmarkEnd w:id="371"/>
      <w:bookmarkStart w:id="372" w:name="_Hlt520343392"/>
      <w:bookmarkEnd w:id="372"/>
      <w:bookmarkStart w:id="373" w:name="_Hlt520273711"/>
      <w:bookmarkEnd w:id="373"/>
      <w:bookmarkStart w:id="374" w:name="_Hlt520274393"/>
      <w:bookmarkEnd w:id="374"/>
      <w:bookmarkStart w:id="375" w:name="_Hlt520274065"/>
      <w:bookmarkEnd w:id="375"/>
      <w:bookmarkStart w:id="376" w:name="_Hlt520271212"/>
      <w:bookmarkEnd w:id="376"/>
      <w:bookmarkStart w:id="377" w:name="_Hlt520273973"/>
      <w:bookmarkEnd w:id="377"/>
      <w:bookmarkStart w:id="378" w:name="_Hlt520350918"/>
      <w:bookmarkEnd w:id="378"/>
      <w:bookmarkStart w:id="379" w:name="_Hlt520274407"/>
      <w:bookmarkEnd w:id="379"/>
      <w:bookmarkStart w:id="380" w:name="_Toc2581"/>
      <w:bookmarkStart w:id="381" w:name="_Toc520356228"/>
      <w:bookmarkStart w:id="382" w:name="_Ref467988485"/>
      <w:bookmarkStart w:id="383" w:name="_Toc520125061"/>
      <w:bookmarkStart w:id="384" w:name="_Toc480942357"/>
      <w:bookmarkStart w:id="385" w:name="_Ref467988479"/>
      <w:bookmarkStart w:id="386" w:name="_Toc520125062"/>
      <w:bookmarkStart w:id="387" w:name="_Ref467990064"/>
      <w:bookmarkStart w:id="388" w:name="_Ref467990058"/>
      <w:bookmarkStart w:id="389" w:name="_Ref467990101"/>
      <w:bookmarkStart w:id="390" w:name="_Ref467988471"/>
      <w:bookmarkStart w:id="391" w:name="_Toc520356229"/>
      <w:bookmarkStart w:id="392" w:name="_Toc480942358"/>
      <w:bookmarkStart w:id="393" w:name="_Ref467990100"/>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本项目不适用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spacing w:line="360" w:lineRule="auto"/>
        <w:rPr>
          <w:rFonts w:hint="eastAsia"/>
          <w:highlight w:val="none"/>
        </w:rPr>
      </w:pPr>
      <w:r>
        <w:rPr>
          <w:rFonts w:hint="eastAsia" w:ascii="宋体" w:hAnsi="宋体" w:cs="宋体"/>
          <w:bCs/>
          <w:color w:val="FF0000"/>
          <w:szCs w:val="21"/>
          <w:highlight w:val="none"/>
          <w:lang w:val="en-US" w:eastAsia="zh-CN"/>
        </w:rPr>
        <w:t>如2024年审计报告未出，可提供供应商自行盖章的财务报表</w:t>
      </w:r>
      <w:r>
        <w:rPr>
          <w:rFonts w:hint="eastAsia" w:ascii="宋体" w:hAnsi="宋体" w:cs="宋体"/>
          <w:bCs/>
          <w:color w:val="FF0000"/>
          <w:szCs w:val="21"/>
          <w:highlight w:val="none"/>
        </w:rPr>
        <w:t>含资产负债表、损益表（利润表）、现金流量表</w:t>
      </w:r>
      <w:r>
        <w:rPr>
          <w:rFonts w:hint="eastAsia" w:ascii="宋体" w:hAnsi="宋体" w:cs="宋体"/>
          <w:bCs/>
          <w:color w:val="FF0000"/>
          <w:szCs w:val="21"/>
          <w:highlight w:val="none"/>
          <w:lang w:eastAsia="zh-CN"/>
        </w:rPr>
        <w:t>，</w:t>
      </w:r>
      <w:r>
        <w:rPr>
          <w:rFonts w:hint="eastAsia" w:ascii="宋体" w:hAnsi="宋体" w:cs="宋体"/>
          <w:bCs/>
          <w:color w:val="FF0000"/>
          <w:szCs w:val="21"/>
          <w:highlight w:val="none"/>
          <w:lang w:val="en-US" w:eastAsia="zh-CN"/>
        </w:rPr>
        <w:t>供应商对其真实性负责。</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77685377"/>
      <w:bookmarkStart w:id="399"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冷藏专车运输</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WKZB-2025-004</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5610"/>
      <w:bookmarkStart w:id="403"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5"/>
        <w:spacing w:line="360" w:lineRule="auto"/>
        <w:rPr>
          <w:rFonts w:hint="eastAsia" w:hAnsi="宋体" w:cs="楷体_GB2312"/>
          <w:kern w:val="0"/>
          <w:szCs w:val="21"/>
          <w:highlight w:val="none"/>
        </w:rPr>
      </w:pPr>
    </w:p>
    <w:p>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8935355"/>
      <w:bookmarkStart w:id="406" w:name="_Toc216582826"/>
      <w:bookmarkStart w:id="407" w:name="_Toc219175639"/>
      <w:bookmarkStart w:id="408" w:name="_Toc220229434"/>
      <w:bookmarkStart w:id="409" w:name="_Toc109736075"/>
    </w:p>
    <w:p>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3"/>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根据投标人履行冷藏专车运输的实际能力（可调配车辆、人员情况等），最高得5分，第二名得3分，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51"/>
              <w:tblW w:w="172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7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使用情况</w:t>
                  </w:r>
                </w:p>
              </w:tc>
            </w:tr>
          </w:tbl>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根据投标人提供过往产品或者服务实际使用情况优劣进行评分，最高得10分，</w:t>
            </w:r>
            <w:r>
              <w:rPr>
                <w:rFonts w:hint="eastAsia" w:ascii="微软雅黑" w:hAnsi="微软雅黑" w:eastAsia="微软雅黑" w:cs="微软雅黑"/>
                <w:i w:val="0"/>
                <w:iCs w:val="0"/>
                <w:color w:val="000000"/>
                <w:sz w:val="21"/>
                <w:szCs w:val="21"/>
                <w:highlight w:val="none"/>
                <w:u w:val="none"/>
                <w:lang w:val="en-US" w:eastAsia="zh-CN"/>
              </w:rPr>
              <w:t>第二得8分，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各有效投标报价（按本采购项目内包含所有类别产品的单价合计总价计算）去掉一个最高报价和一个最低报价以后的各投标人的投标报价的算术平均值；（2）如有效投标个数少于5个（含），则基准价=所有有效投标报价的算术平均值。</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2.报价得分计算。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各有效投标报价以基准价为标准进行比较：（1）每高于基准价1%扣0.4分，以此类推，扣完为止。计算公式为：报价得分=40-[（投标报价-基准价）/基准价]×100×0.4；（2）每低于基准价1%扣0.2分，以此类推，扣完为止。计算公式为：报价得分=40-[（基准价-投标报价）/基准价]×100×0.2。</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tbl>
      <w:tblPr>
        <w:tblStyle w:val="51"/>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697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4" w:type="dxa"/>
            <w:tcBorders>
              <w:top w:val="single" w:color="auto" w:sz="4" w:space="0"/>
            </w:tcBorders>
            <w:shd w:val="clear" w:color="auto" w:fill="7F7F7F"/>
            <w:vAlign w:val="center"/>
          </w:tcPr>
          <w:p>
            <w:pPr>
              <w:jc w:val="center"/>
              <w:rPr>
                <w:rFonts w:ascii="宋体" w:hAnsi="宋体" w:cs="宋体"/>
                <w:highlight w:val="red"/>
              </w:rPr>
            </w:pPr>
            <w:r>
              <w:rPr>
                <w:rFonts w:hint="eastAsia" w:ascii="宋体" w:hAnsi="宋体" w:cs="宋体"/>
              </w:rPr>
              <w:t>需求编号</w:t>
            </w:r>
          </w:p>
        </w:tc>
        <w:tc>
          <w:tcPr>
            <w:tcW w:w="6975" w:type="dxa"/>
            <w:tcBorders>
              <w:top w:val="single" w:color="auto" w:sz="4" w:space="0"/>
            </w:tcBorders>
            <w:shd w:val="clear" w:color="auto" w:fill="7F7F7F"/>
            <w:vAlign w:val="center"/>
          </w:tcPr>
          <w:p>
            <w:pPr>
              <w:jc w:val="center"/>
              <w:rPr>
                <w:rFonts w:ascii="宋体" w:hAnsi="宋体" w:cs="宋体"/>
                <w:highlight w:val="red"/>
              </w:rPr>
            </w:pPr>
            <w:r>
              <w:rPr>
                <w:rFonts w:hint="eastAsia" w:ascii="宋体" w:hAnsi="宋体" w:cs="宋体"/>
                <w:lang w:val="en-US" w:eastAsia="zh-CN"/>
              </w:rPr>
              <w:t xml:space="preserve">冷藏专车运输 </w:t>
            </w:r>
            <w:r>
              <w:rPr>
                <w:rFonts w:hint="eastAsia" w:ascii="宋体" w:hAnsi="宋体" w:cs="宋体"/>
              </w:rPr>
              <w:t>需求说明</w:t>
            </w:r>
          </w:p>
        </w:tc>
        <w:tc>
          <w:tcPr>
            <w:tcW w:w="1290" w:type="dxa"/>
            <w:tcBorders>
              <w:top w:val="single" w:color="auto" w:sz="4" w:space="0"/>
            </w:tcBorders>
            <w:shd w:val="clear" w:color="auto" w:fill="7F7F7F"/>
            <w:vAlign w:val="center"/>
          </w:tcPr>
          <w:p>
            <w:pPr>
              <w:jc w:val="center"/>
              <w:rPr>
                <w:rFonts w:ascii="宋体" w:hAnsi="宋体" w:cs="宋体"/>
                <w:highlight w:val="red"/>
              </w:rPr>
            </w:pPr>
            <w:r>
              <w:rPr>
                <w:rFonts w:hint="eastAsia" w:ascii="宋体" w:hAnsi="宋体" w:cs="宋体"/>
              </w:rPr>
              <w:t>必须/期望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4" w:type="dxa"/>
            <w:vAlign w:val="center"/>
          </w:tcPr>
          <w:p>
            <w:pPr>
              <w:jc w:val="center"/>
              <w:rPr>
                <w:rFonts w:ascii="宋体" w:hAnsi="宋体" w:cs="宋体"/>
                <w:b/>
                <w:bCs/>
              </w:rPr>
            </w:pPr>
            <w:r>
              <w:rPr>
                <w:rFonts w:hint="eastAsia" w:ascii="宋体" w:hAnsi="宋体" w:cs="宋体"/>
                <w:b/>
                <w:bCs/>
              </w:rPr>
              <w:t>一</w:t>
            </w:r>
          </w:p>
        </w:tc>
        <w:tc>
          <w:tcPr>
            <w:tcW w:w="6975" w:type="dxa"/>
            <w:vAlign w:val="center"/>
          </w:tcPr>
          <w:p>
            <w:pPr>
              <w:jc w:val="left"/>
              <w:rPr>
                <w:rFonts w:ascii="宋体" w:hAnsi="宋体" w:cs="宋体"/>
                <w:b/>
                <w:bCs/>
                <w:szCs w:val="21"/>
              </w:rPr>
            </w:pPr>
            <w:r>
              <w:rPr>
                <w:rFonts w:hint="eastAsia" w:ascii="宋体" w:hAnsi="宋体" w:cs="宋体"/>
                <w:b/>
                <w:bCs/>
                <w:szCs w:val="21"/>
              </w:rPr>
              <w:t>项目总体要求</w:t>
            </w:r>
          </w:p>
        </w:tc>
        <w:tc>
          <w:tcPr>
            <w:tcW w:w="1290" w:type="dxa"/>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154" w:type="dxa"/>
            <w:vAlign w:val="center"/>
          </w:tcPr>
          <w:p>
            <w:pPr>
              <w:jc w:val="center"/>
              <w:rPr>
                <w:rFonts w:ascii="宋体" w:hAnsi="宋体" w:cs="宋体"/>
              </w:rPr>
            </w:pPr>
            <w:r>
              <w:rPr>
                <w:rFonts w:hint="eastAsia" w:ascii="宋体" w:hAnsi="宋体" w:cs="宋体"/>
              </w:rPr>
              <w:t>URS01</w:t>
            </w:r>
          </w:p>
        </w:tc>
        <w:tc>
          <w:tcPr>
            <w:tcW w:w="6975" w:type="dxa"/>
            <w:vAlign w:val="center"/>
          </w:tcPr>
          <w:p>
            <w:pPr>
              <w:jc w:val="left"/>
              <w:rPr>
                <w:rFonts w:ascii="宋体" w:hAnsi="宋体" w:cs="宋体"/>
                <w:szCs w:val="21"/>
              </w:rPr>
            </w:pPr>
            <w:r>
              <w:rPr>
                <w:rFonts w:hint="eastAsia" w:ascii="宋体" w:hAnsi="宋体" w:cs="宋体"/>
                <w:szCs w:val="21"/>
              </w:rPr>
              <w:t>投标单位应具备相应承揽能力、资质</w:t>
            </w:r>
            <w:r>
              <w:rPr>
                <w:rFonts w:hint="eastAsia" w:ascii="宋体" w:hAnsi="宋体" w:cs="宋体"/>
                <w:szCs w:val="21"/>
                <w:lang w:eastAsia="zh-CN"/>
              </w:rPr>
              <w:t>（</w:t>
            </w:r>
            <w:r>
              <w:rPr>
                <w:rFonts w:hint="eastAsia" w:ascii="宋体" w:hAnsi="宋体" w:cs="宋体"/>
                <w:szCs w:val="21"/>
                <w:lang w:val="en-US" w:eastAsia="zh-CN"/>
              </w:rPr>
              <w:t>道路运输许可证等</w:t>
            </w:r>
            <w:r>
              <w:rPr>
                <w:rFonts w:hint="eastAsia" w:ascii="宋体" w:hAnsi="宋体" w:cs="宋体"/>
                <w:szCs w:val="21"/>
                <w:lang w:eastAsia="zh-CN"/>
              </w:rPr>
              <w:t>）</w:t>
            </w:r>
            <w:r>
              <w:rPr>
                <w:rFonts w:hint="eastAsia" w:ascii="宋体" w:hAnsi="宋体" w:cs="宋体"/>
                <w:szCs w:val="21"/>
              </w:rPr>
              <w:t>与业绩。</w:t>
            </w:r>
          </w:p>
        </w:tc>
        <w:tc>
          <w:tcPr>
            <w:tcW w:w="1290" w:type="dxa"/>
            <w:vAlign w:val="center"/>
          </w:tcPr>
          <w:p>
            <w:pPr>
              <w:jc w:val="center"/>
              <w:rPr>
                <w:rFonts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4" w:type="dxa"/>
            <w:vAlign w:val="center"/>
          </w:tcPr>
          <w:p>
            <w:pPr>
              <w:jc w:val="center"/>
              <w:rPr>
                <w:rFonts w:ascii="宋体" w:hAnsi="宋体" w:cs="宋体"/>
              </w:rPr>
            </w:pPr>
            <w:r>
              <w:rPr>
                <w:rFonts w:hint="eastAsia" w:ascii="宋体" w:hAnsi="宋体" w:cs="宋体"/>
              </w:rPr>
              <w:t>URS02</w:t>
            </w:r>
          </w:p>
        </w:tc>
        <w:tc>
          <w:tcPr>
            <w:tcW w:w="6975" w:type="dxa"/>
            <w:vAlign w:val="center"/>
          </w:tcPr>
          <w:p>
            <w:pPr>
              <w:jc w:val="left"/>
              <w:rPr>
                <w:rFonts w:hint="eastAsia" w:ascii="宋体" w:hAnsi="宋体" w:eastAsia="宋体" w:cs="宋体"/>
                <w:szCs w:val="21"/>
                <w:lang w:eastAsia="zh-CN"/>
              </w:rPr>
            </w:pPr>
            <w:r>
              <w:rPr>
                <w:rFonts w:hint="eastAsia" w:ascii="宋体" w:hAnsi="宋体" w:cs="宋体"/>
                <w:szCs w:val="21"/>
              </w:rPr>
              <w:t>本项目禁止分包和转包，投标商需自主独立完成，并承担</w:t>
            </w:r>
            <w:r>
              <w:rPr>
                <w:rFonts w:hint="eastAsia" w:ascii="宋体" w:hAnsi="宋体" w:cs="宋体"/>
                <w:szCs w:val="21"/>
                <w:lang w:val="en-US" w:eastAsia="zh-CN"/>
              </w:rPr>
              <w:t>售后</w:t>
            </w:r>
            <w:r>
              <w:rPr>
                <w:rFonts w:hint="eastAsia" w:ascii="宋体" w:hAnsi="宋体" w:cs="宋体"/>
                <w:szCs w:val="21"/>
              </w:rPr>
              <w:t>工作</w:t>
            </w:r>
            <w:r>
              <w:rPr>
                <w:rFonts w:hint="eastAsia" w:ascii="宋体" w:hAnsi="宋体" w:cs="宋体"/>
                <w:szCs w:val="21"/>
                <w:lang w:eastAsia="zh-CN"/>
              </w:rPr>
              <w:t>。</w:t>
            </w:r>
          </w:p>
        </w:tc>
        <w:tc>
          <w:tcPr>
            <w:tcW w:w="1290" w:type="dxa"/>
            <w:vAlign w:val="center"/>
          </w:tcPr>
          <w:p>
            <w:pPr>
              <w:jc w:val="center"/>
              <w:rPr>
                <w:rFonts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4" w:type="dxa"/>
            <w:vAlign w:val="center"/>
          </w:tcPr>
          <w:p>
            <w:pPr>
              <w:jc w:val="center"/>
              <w:rPr>
                <w:rFonts w:ascii="宋体" w:hAnsi="宋体" w:cs="宋体"/>
              </w:rPr>
            </w:pPr>
            <w:r>
              <w:rPr>
                <w:rFonts w:hint="eastAsia" w:ascii="宋体" w:hAnsi="宋体" w:cs="宋体"/>
              </w:rPr>
              <w:t>URS03</w:t>
            </w:r>
          </w:p>
        </w:tc>
        <w:tc>
          <w:tcPr>
            <w:tcW w:w="6975" w:type="dxa"/>
            <w:vAlign w:val="center"/>
          </w:tcPr>
          <w:p>
            <w:pPr>
              <w:jc w:val="left"/>
              <w:rPr>
                <w:rFonts w:hint="default" w:ascii="宋体" w:hAnsi="宋体" w:cs="宋体"/>
                <w:szCs w:val="21"/>
                <w:lang w:val="en-US"/>
              </w:rPr>
            </w:pPr>
            <w:r>
              <w:rPr>
                <w:rFonts w:hint="eastAsia" w:ascii="宋体" w:hAnsi="宋体" w:cs="宋体"/>
                <w:szCs w:val="21"/>
              </w:rPr>
              <w:t>投标单位</w:t>
            </w:r>
            <w:r>
              <w:rPr>
                <w:rFonts w:hint="eastAsia" w:ascii="宋体" w:hAnsi="宋体" w:cs="宋体"/>
                <w:szCs w:val="21"/>
                <w:lang w:val="en-US" w:eastAsia="zh-CN"/>
              </w:rPr>
              <w:t>应具备完善的五年内物流运输台账，并支持后期查询。</w:t>
            </w:r>
          </w:p>
        </w:tc>
        <w:tc>
          <w:tcPr>
            <w:tcW w:w="1290" w:type="dxa"/>
            <w:vAlign w:val="center"/>
          </w:tcPr>
          <w:p>
            <w:pPr>
              <w:jc w:val="center"/>
              <w:rPr>
                <w:rFonts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4" w:type="dxa"/>
            <w:vAlign w:val="center"/>
          </w:tcPr>
          <w:p>
            <w:pPr>
              <w:jc w:val="center"/>
              <w:rPr>
                <w:rFonts w:ascii="宋体" w:hAnsi="宋体" w:cs="宋体"/>
              </w:rPr>
            </w:pPr>
            <w:r>
              <w:rPr>
                <w:rFonts w:hint="eastAsia" w:ascii="宋体" w:hAnsi="宋体" w:cs="宋体"/>
              </w:rPr>
              <w:t>URS04</w:t>
            </w:r>
          </w:p>
        </w:tc>
        <w:tc>
          <w:tcPr>
            <w:tcW w:w="6975" w:type="dxa"/>
            <w:vAlign w:val="center"/>
          </w:tcPr>
          <w:p>
            <w:pPr>
              <w:jc w:val="left"/>
              <w:rPr>
                <w:rFonts w:hint="default" w:ascii="宋体" w:hAnsi="宋体" w:cs="宋体"/>
                <w:szCs w:val="21"/>
                <w:lang w:val="en-US"/>
              </w:rPr>
            </w:pPr>
            <w:r>
              <w:rPr>
                <w:rFonts w:hint="eastAsia" w:ascii="宋体" w:hAnsi="宋体" w:cs="宋体"/>
                <w:szCs w:val="21"/>
              </w:rPr>
              <w:t>投标单位</w:t>
            </w:r>
            <w:r>
              <w:rPr>
                <w:rFonts w:hint="eastAsia" w:ascii="宋体" w:hAnsi="宋体" w:cs="宋体"/>
                <w:szCs w:val="21"/>
                <w:lang w:val="en-US" w:eastAsia="zh-CN"/>
              </w:rPr>
              <w:t>应支持异地取货并专车返回的服务。</w:t>
            </w:r>
          </w:p>
        </w:tc>
        <w:tc>
          <w:tcPr>
            <w:tcW w:w="1290" w:type="dxa"/>
            <w:vAlign w:val="center"/>
          </w:tcPr>
          <w:p>
            <w:pPr>
              <w:jc w:val="center"/>
              <w:rPr>
                <w:rFonts w:hint="eastAsia" w:ascii="宋体" w:hAnsi="宋体" w:eastAsia="宋体" w:cs="宋体"/>
                <w:lang w:eastAsia="zh-CN"/>
              </w:rPr>
            </w:pPr>
            <w:r>
              <w:rPr>
                <w:rFonts w:hint="eastAsia" w:ascii="宋体" w:hAnsi="宋体" w:cs="宋体"/>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54" w:type="dxa"/>
            <w:vAlign w:val="center"/>
          </w:tcPr>
          <w:p>
            <w:pPr>
              <w:jc w:val="center"/>
              <w:rPr>
                <w:rFonts w:hint="eastAsia" w:ascii="宋体" w:hAnsi="宋体" w:eastAsia="宋体" w:cs="宋体"/>
                <w:lang w:eastAsia="zh-CN"/>
              </w:rPr>
            </w:pPr>
            <w:r>
              <w:rPr>
                <w:rFonts w:hint="eastAsia" w:ascii="宋体" w:hAnsi="宋体" w:cs="宋体"/>
              </w:rPr>
              <w:t>URS0</w:t>
            </w:r>
            <w:r>
              <w:rPr>
                <w:rFonts w:hint="eastAsia" w:ascii="宋体" w:hAnsi="宋体" w:cs="宋体"/>
                <w:lang w:val="en-US" w:eastAsia="zh-CN"/>
              </w:rPr>
              <w:t>5</w:t>
            </w:r>
          </w:p>
        </w:tc>
        <w:tc>
          <w:tcPr>
            <w:tcW w:w="6975" w:type="dxa"/>
            <w:vAlign w:val="center"/>
          </w:tcPr>
          <w:p>
            <w:pPr>
              <w:jc w:val="left"/>
              <w:rPr>
                <w:rFonts w:hint="default" w:ascii="宋体" w:hAnsi="宋体" w:eastAsia="宋体" w:cs="宋体"/>
                <w:szCs w:val="21"/>
                <w:lang w:val="en-US" w:eastAsia="zh-CN"/>
              </w:rPr>
            </w:pPr>
            <w:r>
              <w:rPr>
                <w:rFonts w:hint="eastAsia" w:ascii="宋体" w:hAnsi="宋体" w:cs="宋体"/>
                <w:szCs w:val="21"/>
              </w:rPr>
              <w:t>投标单位</w:t>
            </w:r>
            <w:r>
              <w:rPr>
                <w:rFonts w:hint="eastAsia" w:ascii="宋体" w:hAnsi="宋体" w:cs="宋体"/>
                <w:szCs w:val="21"/>
                <w:lang w:val="en-US" w:eastAsia="zh-CN"/>
              </w:rPr>
              <w:t>持有《药品营业许可证》，相关人员持有《健康证明》等相关证件。</w:t>
            </w:r>
          </w:p>
        </w:tc>
        <w:tc>
          <w:tcPr>
            <w:tcW w:w="1290" w:type="dxa"/>
            <w:vAlign w:val="center"/>
          </w:tcPr>
          <w:p>
            <w:pPr>
              <w:jc w:val="center"/>
              <w:rPr>
                <w:rFonts w:ascii="宋体" w:hAnsi="宋体" w:cs="宋体"/>
              </w:rPr>
            </w:pPr>
            <w:r>
              <w:rPr>
                <w:rFonts w:hint="eastAsia" w:ascii="宋体" w:hAnsi="宋体" w:cs="宋体"/>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ascii="宋体" w:hAnsi="宋体" w:cs="宋体"/>
                <w:b/>
                <w:bCs/>
              </w:rPr>
            </w:pPr>
            <w:r>
              <w:rPr>
                <w:rFonts w:hint="eastAsia" w:ascii="宋体" w:hAnsi="宋体" w:cs="宋体"/>
                <w:b/>
                <w:bCs/>
              </w:rPr>
              <w:t>二</w:t>
            </w:r>
          </w:p>
        </w:tc>
        <w:tc>
          <w:tcPr>
            <w:tcW w:w="6975" w:type="dxa"/>
            <w:vAlign w:val="center"/>
          </w:tcPr>
          <w:p>
            <w:pPr>
              <w:jc w:val="left"/>
              <w:rPr>
                <w:rFonts w:hint="default" w:ascii="宋体" w:hAnsi="宋体" w:eastAsia="宋体" w:cs="宋体"/>
                <w:b/>
                <w:bCs/>
                <w:szCs w:val="21"/>
                <w:lang w:val="en-US" w:eastAsia="zh-CN"/>
              </w:rPr>
            </w:pPr>
            <w:r>
              <w:rPr>
                <w:rFonts w:hint="eastAsia" w:ascii="宋体" w:hAnsi="宋体" w:cs="宋体"/>
                <w:b/>
                <w:bCs/>
                <w:sz w:val="24"/>
                <w:szCs w:val="24"/>
                <w:lang w:val="en-US" w:eastAsia="zh-CN"/>
              </w:rPr>
              <w:t>专车</w:t>
            </w:r>
            <w:r>
              <w:rPr>
                <w:rFonts w:hint="eastAsia" w:ascii="宋体" w:hAnsi="宋体" w:cs="宋体"/>
                <w:b/>
                <w:bCs/>
                <w:szCs w:val="21"/>
                <w:lang w:val="en-US" w:eastAsia="zh-CN"/>
              </w:rPr>
              <w:t>服务</w:t>
            </w:r>
          </w:p>
        </w:tc>
        <w:tc>
          <w:tcPr>
            <w:tcW w:w="1290" w:type="dxa"/>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ascii="宋体" w:hAnsi="宋体" w:cs="宋体"/>
              </w:rPr>
            </w:pPr>
          </w:p>
        </w:tc>
        <w:tc>
          <w:tcPr>
            <w:tcW w:w="6975" w:type="dxa"/>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项目</w:t>
            </w:r>
            <w:r>
              <w:rPr>
                <w:rFonts w:hint="eastAsia" w:ascii="宋体" w:hAnsi="宋体" w:cs="宋体"/>
                <w:szCs w:val="21"/>
              </w:rPr>
              <w:t>概述：</w:t>
            </w:r>
            <w:r>
              <w:rPr>
                <w:rFonts w:hint="eastAsia" w:ascii="宋体" w:hAnsi="宋体" w:cs="宋体"/>
                <w:szCs w:val="21"/>
                <w:lang w:val="en-US" w:eastAsia="zh-CN"/>
              </w:rPr>
              <w:t>从我司提货后车辆以2-8℃或零下15-零下20℃温度进行专车派送，具体温度要求以当次运输指令为准。</w:t>
            </w:r>
          </w:p>
        </w:tc>
        <w:tc>
          <w:tcPr>
            <w:tcW w:w="1290" w:type="dxa"/>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ascii="宋体" w:hAnsi="宋体" w:cs="宋体"/>
                <w:b/>
                <w:bCs/>
              </w:rPr>
            </w:pPr>
            <w:r>
              <w:rPr>
                <w:rFonts w:hint="eastAsia" w:ascii="宋体" w:hAnsi="宋体" w:cs="宋体"/>
                <w:b/>
                <w:bCs/>
              </w:rPr>
              <w:t>2.1</w:t>
            </w:r>
          </w:p>
        </w:tc>
        <w:tc>
          <w:tcPr>
            <w:tcW w:w="6975" w:type="dxa"/>
            <w:vAlign w:val="center"/>
          </w:tcPr>
          <w:p>
            <w:pPr>
              <w:jc w:val="left"/>
              <w:rPr>
                <w:rFonts w:hint="default" w:ascii="宋体" w:hAnsi="宋体" w:eastAsia="宋体" w:cs="宋体"/>
                <w:b/>
                <w:bCs/>
                <w:szCs w:val="21"/>
                <w:lang w:val="en-US" w:eastAsia="zh-CN"/>
              </w:rPr>
            </w:pPr>
            <w:r>
              <w:rPr>
                <w:rFonts w:hint="eastAsia" w:ascii="宋体" w:hAnsi="宋体" w:cs="宋体"/>
                <w:b/>
                <w:bCs/>
                <w:szCs w:val="21"/>
                <w:lang w:val="en-US" w:eastAsia="zh-CN"/>
              </w:rPr>
              <w:t>提货环节</w:t>
            </w:r>
          </w:p>
        </w:tc>
        <w:tc>
          <w:tcPr>
            <w:tcW w:w="1290" w:type="dxa"/>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eastAsia="宋体" w:cs="宋体"/>
                <w:lang w:eastAsia="zh-CN"/>
              </w:rPr>
            </w:pPr>
            <w:r>
              <w:rPr>
                <w:rFonts w:hint="eastAsia" w:ascii="宋体" w:hAnsi="宋体" w:cs="宋体"/>
              </w:rPr>
              <w:t>URS0</w:t>
            </w:r>
            <w:r>
              <w:rPr>
                <w:rFonts w:hint="eastAsia" w:ascii="宋体" w:hAnsi="宋体" w:cs="宋体"/>
                <w:lang w:val="en-US" w:eastAsia="zh-CN"/>
              </w:rPr>
              <w:t>6</w:t>
            </w:r>
          </w:p>
        </w:tc>
        <w:tc>
          <w:tcPr>
            <w:tcW w:w="6975" w:type="dxa"/>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我司提供产品信息，数量，时间，体积等信息，投标单位应在接到信息的3小时内反馈我司，并按要求时间到达我司。</w:t>
            </w:r>
          </w:p>
        </w:tc>
        <w:tc>
          <w:tcPr>
            <w:tcW w:w="1290" w:type="dxa"/>
            <w:vAlign w:val="center"/>
          </w:tcPr>
          <w:p>
            <w:pPr>
              <w:jc w:val="center"/>
              <w:rPr>
                <w:rFonts w:hint="default" w:ascii="宋体" w:hAnsi="宋体" w:cs="宋体"/>
                <w:lang w:val="en-US"/>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lang w:val="en-US" w:eastAsia="zh-CN"/>
              </w:rPr>
            </w:pPr>
            <w:r>
              <w:rPr>
                <w:rFonts w:hint="eastAsia" w:ascii="宋体" w:hAnsi="宋体" w:cs="宋体"/>
              </w:rPr>
              <w:t>URS</w:t>
            </w:r>
            <w:r>
              <w:rPr>
                <w:rFonts w:hint="eastAsia" w:ascii="宋体" w:hAnsi="宋体" w:cs="宋体"/>
                <w:lang w:val="en-US" w:eastAsia="zh-CN"/>
              </w:rPr>
              <w:t>07</w:t>
            </w:r>
          </w:p>
        </w:tc>
        <w:tc>
          <w:tcPr>
            <w:tcW w:w="6975" w:type="dxa"/>
            <w:vAlign w:val="center"/>
          </w:tcPr>
          <w:p>
            <w:pPr>
              <w:jc w:val="left"/>
              <w:rPr>
                <w:rFonts w:hint="default" w:ascii="宋体" w:hAnsi="宋体" w:cs="宋体"/>
                <w:szCs w:val="21"/>
                <w:lang w:val="en-US" w:eastAsia="zh-CN"/>
              </w:rPr>
            </w:pPr>
            <w:r>
              <w:rPr>
                <w:rFonts w:hint="eastAsia" w:ascii="宋体" w:hAnsi="宋体" w:cs="宋体"/>
                <w:szCs w:val="21"/>
                <w:lang w:val="en-US" w:eastAsia="zh-CN"/>
              </w:rPr>
              <w:t>投标单位配备搬运人员来辅助我司人员进行产品上车的动作。</w:t>
            </w:r>
          </w:p>
        </w:tc>
        <w:tc>
          <w:tcPr>
            <w:tcW w:w="1290" w:type="dxa"/>
            <w:vAlign w:val="center"/>
          </w:tcPr>
          <w:p>
            <w:pPr>
              <w:jc w:val="center"/>
              <w:rPr>
                <w:rFonts w:hint="eastAsia"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rPr>
              <w:t>URS</w:t>
            </w:r>
            <w:r>
              <w:rPr>
                <w:rFonts w:hint="eastAsia" w:ascii="宋体" w:hAnsi="宋体" w:cs="宋体"/>
                <w:lang w:val="en-US" w:eastAsia="zh-CN"/>
              </w:rPr>
              <w:t>08</w:t>
            </w:r>
          </w:p>
        </w:tc>
        <w:tc>
          <w:tcPr>
            <w:tcW w:w="6975" w:type="dxa"/>
            <w:vAlign w:val="center"/>
          </w:tcPr>
          <w:p>
            <w:pPr>
              <w:jc w:val="left"/>
              <w:rPr>
                <w:rFonts w:hint="default" w:ascii="宋体" w:hAnsi="宋体" w:cs="宋体"/>
                <w:szCs w:val="21"/>
                <w:lang w:val="en-US" w:eastAsia="zh-CN"/>
              </w:rPr>
            </w:pPr>
            <w:r>
              <w:rPr>
                <w:rFonts w:hint="eastAsia" w:ascii="宋体" w:hAnsi="宋体" w:cs="宋体"/>
                <w:szCs w:val="21"/>
                <w:lang w:val="en-US" w:eastAsia="zh-CN"/>
              </w:rPr>
              <w:t>投标单位车辆配备车载温度器并可现场打印行驶期间的温度。</w:t>
            </w:r>
          </w:p>
        </w:tc>
        <w:tc>
          <w:tcPr>
            <w:tcW w:w="1290" w:type="dxa"/>
            <w:vAlign w:val="center"/>
          </w:tcPr>
          <w:p>
            <w:pPr>
              <w:jc w:val="center"/>
              <w:rPr>
                <w:rFonts w:hint="eastAsia"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rPr>
              <w:t>URS</w:t>
            </w:r>
            <w:r>
              <w:rPr>
                <w:rFonts w:hint="eastAsia" w:ascii="宋体" w:hAnsi="宋体" w:cs="宋体"/>
                <w:lang w:val="en-US" w:eastAsia="zh-CN"/>
              </w:rPr>
              <w:t>09</w:t>
            </w:r>
          </w:p>
        </w:tc>
        <w:tc>
          <w:tcPr>
            <w:tcW w:w="6975" w:type="dxa"/>
            <w:vAlign w:val="center"/>
          </w:tcPr>
          <w:p>
            <w:pPr>
              <w:jc w:val="left"/>
              <w:rPr>
                <w:rFonts w:hint="default" w:ascii="宋体" w:hAnsi="宋体" w:cs="宋体"/>
                <w:szCs w:val="21"/>
                <w:lang w:val="en-US" w:eastAsia="zh-CN"/>
              </w:rPr>
            </w:pPr>
            <w:r>
              <w:rPr>
                <w:rFonts w:hint="eastAsia" w:ascii="宋体" w:hAnsi="宋体" w:cs="宋体"/>
                <w:szCs w:val="21"/>
                <w:lang w:val="en-US" w:eastAsia="zh-CN"/>
              </w:rPr>
              <w:t>投标单位按照派送距离安排司机数量，做到长距离长时间派送有2位司机。</w:t>
            </w:r>
          </w:p>
        </w:tc>
        <w:tc>
          <w:tcPr>
            <w:tcW w:w="1290" w:type="dxa"/>
            <w:vAlign w:val="center"/>
          </w:tcPr>
          <w:p>
            <w:pPr>
              <w:jc w:val="center"/>
              <w:rPr>
                <w:rFonts w:hint="eastAsia" w:ascii="宋体" w:hAnsi="宋体" w:eastAsia="宋体" w:cs="宋体"/>
                <w:lang w:val="en-US" w:eastAsia="zh-CN"/>
              </w:rPr>
            </w:pPr>
            <w:r>
              <w:rPr>
                <w:rFonts w:hint="eastAsia" w:ascii="宋体" w:hAnsi="宋体" w:cs="宋体"/>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cs="宋体"/>
                <w:lang w:val="en-US"/>
              </w:rPr>
            </w:pPr>
            <w:r>
              <w:rPr>
                <w:rFonts w:hint="eastAsia" w:ascii="宋体" w:hAnsi="宋体" w:cs="宋体"/>
              </w:rPr>
              <w:t>URS</w:t>
            </w:r>
            <w:r>
              <w:rPr>
                <w:rFonts w:hint="eastAsia" w:ascii="宋体" w:hAnsi="宋体" w:cs="宋体"/>
                <w:lang w:val="en-US" w:eastAsia="zh-CN"/>
              </w:rPr>
              <w:t>10</w:t>
            </w:r>
          </w:p>
        </w:tc>
        <w:tc>
          <w:tcPr>
            <w:tcW w:w="6975" w:type="dxa"/>
            <w:vAlign w:val="center"/>
          </w:tcPr>
          <w:p>
            <w:pPr>
              <w:jc w:val="left"/>
              <w:rPr>
                <w:rFonts w:hint="default" w:ascii="宋体" w:hAnsi="宋体" w:cs="宋体"/>
                <w:szCs w:val="21"/>
                <w:lang w:val="en-US" w:eastAsia="zh-CN"/>
              </w:rPr>
            </w:pPr>
            <w:r>
              <w:rPr>
                <w:rFonts w:hint="eastAsia" w:ascii="宋体" w:hAnsi="宋体" w:cs="宋体"/>
                <w:szCs w:val="21"/>
                <w:lang w:val="en-US" w:eastAsia="zh-CN"/>
              </w:rPr>
              <w:t>投标单位起运前和我司人员充分沟通，制定路线和预计到各点时间交由我司审核。</w:t>
            </w:r>
          </w:p>
        </w:tc>
        <w:tc>
          <w:tcPr>
            <w:tcW w:w="1290" w:type="dxa"/>
            <w:vAlign w:val="center"/>
          </w:tcPr>
          <w:p>
            <w:pPr>
              <w:jc w:val="center"/>
              <w:rPr>
                <w:rFonts w:hint="eastAsia" w:ascii="宋体" w:hAnsi="宋体" w:cs="宋体"/>
                <w:lang w:val="en-US" w:eastAsia="zh-CN"/>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rPr>
              <w:t>URS</w:t>
            </w:r>
            <w:r>
              <w:rPr>
                <w:rFonts w:hint="eastAsia" w:ascii="宋体" w:hAnsi="宋体" w:cs="宋体"/>
                <w:lang w:val="en-US" w:eastAsia="zh-CN"/>
              </w:rPr>
              <w:t>11</w:t>
            </w:r>
          </w:p>
        </w:tc>
        <w:tc>
          <w:tcPr>
            <w:tcW w:w="6975" w:type="dxa"/>
            <w:vAlign w:val="center"/>
          </w:tcPr>
          <w:p>
            <w:pPr>
              <w:jc w:val="left"/>
              <w:rPr>
                <w:rFonts w:hint="default" w:ascii="宋体" w:hAnsi="宋体" w:cs="宋体"/>
                <w:szCs w:val="21"/>
                <w:lang w:val="en-US" w:eastAsia="zh-CN"/>
              </w:rPr>
            </w:pPr>
            <w:r>
              <w:rPr>
                <w:rFonts w:hint="eastAsia" w:ascii="宋体" w:hAnsi="宋体" w:cs="宋体"/>
                <w:szCs w:val="21"/>
                <w:lang w:val="en-US" w:eastAsia="zh-CN"/>
              </w:rPr>
              <w:t>投标单位起运前和我司人员充分沟通了解派送要求。</w:t>
            </w:r>
          </w:p>
        </w:tc>
        <w:tc>
          <w:tcPr>
            <w:tcW w:w="1290" w:type="dxa"/>
            <w:vAlign w:val="center"/>
          </w:tcPr>
          <w:p>
            <w:pPr>
              <w:jc w:val="center"/>
              <w:rPr>
                <w:rFonts w:hint="eastAsia"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cs="宋体"/>
                <w:lang w:val="en-US"/>
              </w:rPr>
            </w:pPr>
            <w:r>
              <w:rPr>
                <w:rFonts w:hint="eastAsia" w:ascii="宋体" w:hAnsi="宋体" w:cs="宋体"/>
              </w:rPr>
              <w:t>URS</w:t>
            </w:r>
            <w:r>
              <w:rPr>
                <w:rFonts w:hint="eastAsia" w:ascii="宋体" w:hAnsi="宋体" w:cs="宋体"/>
                <w:lang w:val="en-US" w:eastAsia="zh-CN"/>
              </w:rPr>
              <w:t>12</w:t>
            </w:r>
          </w:p>
        </w:tc>
        <w:tc>
          <w:tcPr>
            <w:tcW w:w="6975" w:type="dxa"/>
            <w:vAlign w:val="center"/>
          </w:tcPr>
          <w:p>
            <w:pPr>
              <w:jc w:val="left"/>
              <w:rPr>
                <w:rFonts w:hint="default" w:ascii="宋体" w:hAnsi="宋体" w:cs="宋体"/>
                <w:szCs w:val="21"/>
                <w:lang w:val="en-US" w:eastAsia="zh-CN"/>
              </w:rPr>
            </w:pPr>
            <w:r>
              <w:rPr>
                <w:rFonts w:hint="eastAsia" w:ascii="宋体" w:hAnsi="宋体" w:cs="宋体"/>
                <w:szCs w:val="21"/>
                <w:lang w:val="en-US" w:eastAsia="zh-CN"/>
              </w:rPr>
              <w:t>投标单位在承运之前保持车厢内部整洁干净，无异味，车身干净。</w:t>
            </w:r>
          </w:p>
        </w:tc>
        <w:tc>
          <w:tcPr>
            <w:tcW w:w="1290" w:type="dxa"/>
            <w:vAlign w:val="center"/>
          </w:tcPr>
          <w:p>
            <w:pPr>
              <w:jc w:val="center"/>
              <w:rPr>
                <w:rFonts w:hint="eastAsia"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ascii="宋体" w:hAnsi="宋体" w:cs="宋体"/>
                <w:b/>
                <w:bCs/>
              </w:rPr>
            </w:pPr>
            <w:r>
              <w:rPr>
                <w:rFonts w:hint="eastAsia" w:ascii="宋体" w:hAnsi="宋体" w:cs="宋体"/>
                <w:b/>
                <w:bCs/>
              </w:rPr>
              <w:t>2.2</w:t>
            </w:r>
          </w:p>
        </w:tc>
        <w:tc>
          <w:tcPr>
            <w:tcW w:w="6975" w:type="dxa"/>
            <w:vAlign w:val="center"/>
          </w:tcPr>
          <w:p>
            <w:pPr>
              <w:jc w:val="left"/>
              <w:rPr>
                <w:rFonts w:hint="eastAsia" w:ascii="宋体" w:hAnsi="宋体" w:eastAsia="宋体" w:cs="宋体"/>
                <w:b/>
                <w:bCs/>
                <w:lang w:eastAsia="zh-CN"/>
              </w:rPr>
            </w:pPr>
            <w:r>
              <w:rPr>
                <w:rFonts w:hint="eastAsia" w:ascii="宋体" w:hAnsi="宋体" w:cs="宋体"/>
                <w:b/>
                <w:bCs/>
                <w:lang w:val="en-US" w:eastAsia="zh-CN"/>
              </w:rPr>
              <w:t>运输派送</w:t>
            </w:r>
            <w:r>
              <w:rPr>
                <w:rFonts w:hint="eastAsia" w:ascii="宋体" w:hAnsi="宋体" w:cs="宋体"/>
                <w:b/>
                <w:bCs/>
                <w:szCs w:val="21"/>
                <w:lang w:val="en-US" w:eastAsia="zh-CN"/>
              </w:rPr>
              <w:t>环节</w:t>
            </w:r>
          </w:p>
        </w:tc>
        <w:tc>
          <w:tcPr>
            <w:tcW w:w="1290" w:type="dxa"/>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b/>
                <w:bCs/>
                <w:lang w:val="en-US" w:eastAsia="zh-CN"/>
              </w:rPr>
            </w:pPr>
            <w:r>
              <w:rPr>
                <w:rFonts w:hint="eastAsia" w:ascii="宋体" w:hAnsi="宋体" w:cs="宋体"/>
              </w:rPr>
              <w:t>URS</w:t>
            </w:r>
            <w:r>
              <w:rPr>
                <w:rFonts w:hint="eastAsia" w:ascii="宋体" w:hAnsi="宋体" w:cs="宋体"/>
                <w:lang w:val="en-US" w:eastAsia="zh-CN"/>
              </w:rPr>
              <w:t>13</w:t>
            </w:r>
          </w:p>
        </w:tc>
        <w:tc>
          <w:tcPr>
            <w:tcW w:w="6975" w:type="dxa"/>
            <w:vAlign w:val="center"/>
          </w:tcPr>
          <w:p>
            <w:pPr>
              <w:jc w:val="left"/>
              <w:rPr>
                <w:rFonts w:hint="default" w:ascii="宋体" w:hAnsi="宋体" w:eastAsia="宋体" w:cs="宋体"/>
                <w:b/>
                <w:bCs/>
                <w:lang w:val="en-US" w:eastAsia="zh-CN"/>
              </w:rPr>
            </w:pPr>
            <w:r>
              <w:rPr>
                <w:rFonts w:hint="eastAsia" w:ascii="宋体" w:hAnsi="宋体" w:cs="宋体"/>
                <w:szCs w:val="21"/>
                <w:lang w:val="en-US" w:eastAsia="zh-CN"/>
              </w:rPr>
              <w:t>投标单位车辆需全程保持规定温度至派送结束</w:t>
            </w:r>
            <w:r>
              <w:rPr>
                <w:rFonts w:hint="eastAsia" w:ascii="宋体" w:hAnsi="宋体" w:cs="宋体"/>
                <w:lang w:val="en-US" w:eastAsia="zh-CN"/>
              </w:rPr>
              <w:t>。</w:t>
            </w:r>
          </w:p>
        </w:tc>
        <w:tc>
          <w:tcPr>
            <w:tcW w:w="1290" w:type="dxa"/>
            <w:vAlign w:val="center"/>
          </w:tcPr>
          <w:p>
            <w:pPr>
              <w:jc w:val="center"/>
              <w:rPr>
                <w:rFonts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b/>
                <w:bCs/>
                <w:lang w:val="en-US" w:eastAsia="zh-CN"/>
              </w:rPr>
            </w:pPr>
            <w:r>
              <w:rPr>
                <w:rFonts w:hint="eastAsia" w:ascii="宋体" w:hAnsi="宋体" w:cs="宋体"/>
              </w:rPr>
              <w:t>URS</w:t>
            </w:r>
            <w:r>
              <w:rPr>
                <w:rFonts w:hint="eastAsia" w:ascii="宋体" w:hAnsi="宋体" w:cs="宋体"/>
                <w:lang w:val="en-US" w:eastAsia="zh-CN"/>
              </w:rPr>
              <w:t>14</w:t>
            </w:r>
          </w:p>
        </w:tc>
        <w:tc>
          <w:tcPr>
            <w:tcW w:w="6975" w:type="dxa"/>
            <w:vAlign w:val="center"/>
          </w:tcPr>
          <w:p>
            <w:pPr>
              <w:rPr>
                <w:rFonts w:hint="default" w:ascii="宋体" w:hAnsi="宋体" w:eastAsia="宋体" w:cs="宋体"/>
                <w:b/>
                <w:bCs/>
                <w:lang w:val="en-US" w:eastAsia="zh-CN"/>
              </w:rPr>
            </w:pPr>
            <w:r>
              <w:rPr>
                <w:rFonts w:hint="eastAsia" w:ascii="宋体" w:hAnsi="宋体" w:cs="宋体"/>
                <w:szCs w:val="21"/>
                <w:lang w:val="en-US" w:eastAsia="zh-CN"/>
              </w:rPr>
              <w:t>投标单位</w:t>
            </w:r>
            <w:r>
              <w:rPr>
                <w:rFonts w:hint="eastAsia" w:ascii="宋体" w:hAnsi="宋体" w:cs="宋体"/>
                <w:lang w:val="en-US" w:eastAsia="zh-CN"/>
              </w:rPr>
              <w:t>派送人员需礼貌对待客户，满足客户一切要求，并协助客户进行卸货操作，严禁辱骂客户，说话阴阳怪气等带有脾气的话语和行动。</w:t>
            </w:r>
          </w:p>
        </w:tc>
        <w:tc>
          <w:tcPr>
            <w:tcW w:w="1290" w:type="dxa"/>
            <w:vAlign w:val="center"/>
          </w:tcPr>
          <w:p>
            <w:pPr>
              <w:jc w:val="center"/>
              <w:rPr>
                <w:rFonts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rPr>
              <w:t>URS</w:t>
            </w:r>
            <w:r>
              <w:rPr>
                <w:rFonts w:hint="eastAsia" w:ascii="宋体" w:hAnsi="宋体" w:cs="宋体"/>
                <w:lang w:val="en-US" w:eastAsia="zh-CN"/>
              </w:rPr>
              <w:t>15</w:t>
            </w:r>
          </w:p>
        </w:tc>
        <w:tc>
          <w:tcPr>
            <w:tcW w:w="6975" w:type="dxa"/>
            <w:vAlign w:val="center"/>
          </w:tcPr>
          <w:p>
            <w:pPr>
              <w:rPr>
                <w:rFonts w:hint="default" w:ascii="宋体" w:hAnsi="宋体" w:cs="宋体"/>
                <w:lang w:val="en-US" w:eastAsia="zh-CN"/>
              </w:rPr>
            </w:pPr>
            <w:r>
              <w:rPr>
                <w:rFonts w:hint="eastAsia" w:ascii="宋体" w:hAnsi="宋体" w:cs="宋体"/>
                <w:szCs w:val="21"/>
                <w:lang w:val="en-US" w:eastAsia="zh-CN"/>
              </w:rPr>
              <w:t>投标单位</w:t>
            </w:r>
            <w:r>
              <w:rPr>
                <w:rFonts w:hint="eastAsia" w:ascii="宋体" w:hAnsi="宋体" w:cs="宋体"/>
                <w:lang w:val="en-US" w:eastAsia="zh-CN"/>
              </w:rPr>
              <w:t>派送人员最少提前4小时与客户沟通了解卸货地点，预告卸货时间，约定所要准备的材料。</w:t>
            </w:r>
          </w:p>
        </w:tc>
        <w:tc>
          <w:tcPr>
            <w:tcW w:w="1290" w:type="dxa"/>
            <w:vAlign w:val="center"/>
          </w:tcPr>
          <w:p>
            <w:pPr>
              <w:jc w:val="center"/>
              <w:rPr>
                <w:rFonts w:hint="eastAsia" w:ascii="宋体" w:hAnsi="宋体" w:eastAsia="宋体" w:cs="宋体"/>
                <w:lang w:val="en-US" w:eastAsia="zh-CN"/>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rPr>
              <w:t>URS</w:t>
            </w:r>
            <w:r>
              <w:rPr>
                <w:rFonts w:hint="eastAsia" w:ascii="宋体" w:hAnsi="宋体" w:cs="宋体"/>
                <w:lang w:val="en-US" w:eastAsia="zh-CN"/>
              </w:rPr>
              <w:t>16</w:t>
            </w:r>
          </w:p>
        </w:tc>
        <w:tc>
          <w:tcPr>
            <w:tcW w:w="6975" w:type="dxa"/>
            <w:vAlign w:val="center"/>
          </w:tcPr>
          <w:p>
            <w:pPr>
              <w:rPr>
                <w:rFonts w:hint="default" w:ascii="宋体" w:hAnsi="宋体" w:cs="宋体"/>
                <w:szCs w:val="21"/>
                <w:lang w:val="en-US" w:eastAsia="zh-CN"/>
              </w:rPr>
            </w:pPr>
            <w:r>
              <w:rPr>
                <w:rFonts w:hint="eastAsia" w:ascii="宋体" w:hAnsi="宋体" w:cs="宋体"/>
                <w:szCs w:val="21"/>
                <w:lang w:val="en-US" w:eastAsia="zh-CN"/>
              </w:rPr>
              <w:t>投标单位车辆严禁运输途中接取其他货物。</w:t>
            </w:r>
          </w:p>
        </w:tc>
        <w:tc>
          <w:tcPr>
            <w:tcW w:w="1290" w:type="dxa"/>
            <w:vAlign w:val="center"/>
          </w:tcPr>
          <w:p>
            <w:pPr>
              <w:jc w:val="center"/>
              <w:rPr>
                <w:rFonts w:hint="eastAsia" w:ascii="宋体" w:hAnsi="宋体" w:cs="宋体"/>
                <w:lang w:val="en-US" w:eastAsia="zh-CN"/>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rPr>
              <w:t>URS</w:t>
            </w:r>
            <w:r>
              <w:rPr>
                <w:rFonts w:hint="eastAsia" w:ascii="宋体" w:hAnsi="宋体" w:cs="宋体"/>
                <w:lang w:val="en-US" w:eastAsia="zh-CN"/>
              </w:rPr>
              <w:t>17</w:t>
            </w:r>
          </w:p>
        </w:tc>
        <w:tc>
          <w:tcPr>
            <w:tcW w:w="6975" w:type="dxa"/>
            <w:vAlign w:val="center"/>
          </w:tcPr>
          <w:p>
            <w:pPr>
              <w:rPr>
                <w:rFonts w:hint="default" w:ascii="宋体" w:hAnsi="宋体" w:cs="宋体"/>
                <w:szCs w:val="21"/>
                <w:lang w:val="en-US" w:eastAsia="zh-CN"/>
              </w:rPr>
            </w:pPr>
            <w:r>
              <w:rPr>
                <w:rFonts w:hint="eastAsia" w:ascii="宋体" w:hAnsi="宋体" w:cs="宋体"/>
                <w:szCs w:val="21"/>
                <w:lang w:val="en-US" w:eastAsia="zh-CN"/>
              </w:rPr>
              <w:t>投标单位车辆严格按之前约定路线行驶，如果特殊情况及时与我司沟通。</w:t>
            </w:r>
          </w:p>
        </w:tc>
        <w:tc>
          <w:tcPr>
            <w:tcW w:w="1290" w:type="dxa"/>
            <w:vAlign w:val="center"/>
          </w:tcPr>
          <w:p>
            <w:pPr>
              <w:jc w:val="center"/>
              <w:rPr>
                <w:rFonts w:hint="eastAsia" w:ascii="宋体" w:hAnsi="宋体" w:cs="宋体"/>
                <w:lang w:val="en-US" w:eastAsia="zh-CN"/>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rPr>
              <w:t>URS</w:t>
            </w:r>
            <w:r>
              <w:rPr>
                <w:rFonts w:hint="eastAsia" w:ascii="宋体" w:hAnsi="宋体" w:cs="宋体"/>
                <w:lang w:val="en-US" w:eastAsia="zh-CN"/>
              </w:rPr>
              <w:t>18</w:t>
            </w:r>
          </w:p>
        </w:tc>
        <w:tc>
          <w:tcPr>
            <w:tcW w:w="6975" w:type="dxa"/>
            <w:vAlign w:val="center"/>
          </w:tcPr>
          <w:p>
            <w:pPr>
              <w:rPr>
                <w:rFonts w:hint="default" w:ascii="宋体" w:hAnsi="宋体" w:cs="宋体"/>
                <w:szCs w:val="21"/>
                <w:lang w:val="en-US" w:eastAsia="zh-CN"/>
              </w:rPr>
            </w:pPr>
            <w:r>
              <w:rPr>
                <w:rFonts w:hint="eastAsia" w:ascii="宋体" w:hAnsi="宋体" w:cs="宋体"/>
                <w:szCs w:val="21"/>
                <w:lang w:val="en-US" w:eastAsia="zh-CN"/>
              </w:rPr>
              <w:t>投标单位车辆每送完一个点及时上传签收单通报派送情况。</w:t>
            </w:r>
          </w:p>
        </w:tc>
        <w:tc>
          <w:tcPr>
            <w:tcW w:w="1290" w:type="dxa"/>
            <w:vAlign w:val="center"/>
          </w:tcPr>
          <w:p>
            <w:pPr>
              <w:jc w:val="center"/>
              <w:rPr>
                <w:rFonts w:hint="eastAsia" w:ascii="宋体" w:hAnsi="宋体" w:cs="宋体"/>
                <w:lang w:val="en-US" w:eastAsia="zh-CN"/>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rPr>
              <w:t>URS</w:t>
            </w:r>
            <w:r>
              <w:rPr>
                <w:rFonts w:hint="eastAsia" w:ascii="宋体" w:hAnsi="宋体" w:cs="宋体"/>
                <w:lang w:val="en-US" w:eastAsia="zh-CN"/>
              </w:rPr>
              <w:t>19</w:t>
            </w:r>
          </w:p>
        </w:tc>
        <w:tc>
          <w:tcPr>
            <w:tcW w:w="6975" w:type="dxa"/>
            <w:vAlign w:val="center"/>
          </w:tcPr>
          <w:p>
            <w:pPr>
              <w:rPr>
                <w:rFonts w:hint="default" w:ascii="宋体" w:hAnsi="宋体" w:cs="宋体"/>
                <w:szCs w:val="21"/>
                <w:lang w:val="en-US" w:eastAsia="zh-CN"/>
              </w:rPr>
            </w:pPr>
            <w:r>
              <w:rPr>
                <w:rFonts w:hint="eastAsia" w:ascii="宋体" w:hAnsi="宋体" w:cs="宋体"/>
                <w:szCs w:val="21"/>
                <w:lang w:val="en-US" w:eastAsia="zh-CN"/>
              </w:rPr>
              <w:t>投标单位在完成派送后及时回寄签收单并上传全程温度记录和里程数。</w:t>
            </w:r>
          </w:p>
        </w:tc>
        <w:tc>
          <w:tcPr>
            <w:tcW w:w="1290" w:type="dxa"/>
            <w:vAlign w:val="center"/>
          </w:tcPr>
          <w:p>
            <w:pPr>
              <w:jc w:val="center"/>
              <w:rPr>
                <w:rFonts w:hint="eastAsia" w:ascii="宋体" w:hAnsi="宋体" w:cs="宋体"/>
                <w:lang w:val="en-US" w:eastAsia="zh-CN"/>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cs="宋体"/>
                <w:lang w:val="en-US"/>
              </w:rPr>
            </w:pPr>
            <w:r>
              <w:rPr>
                <w:rFonts w:hint="eastAsia" w:ascii="宋体" w:hAnsi="宋体" w:cs="宋体"/>
              </w:rPr>
              <w:t>URS</w:t>
            </w:r>
            <w:r>
              <w:rPr>
                <w:rFonts w:hint="eastAsia" w:ascii="宋体" w:hAnsi="宋体" w:cs="宋体"/>
                <w:lang w:val="en-US" w:eastAsia="zh-CN"/>
              </w:rPr>
              <w:t>20</w:t>
            </w:r>
          </w:p>
        </w:tc>
        <w:tc>
          <w:tcPr>
            <w:tcW w:w="6975" w:type="dxa"/>
            <w:vAlign w:val="center"/>
          </w:tcPr>
          <w:p>
            <w:pPr>
              <w:rPr>
                <w:rFonts w:hint="default" w:ascii="宋体" w:hAnsi="宋体" w:cs="宋体"/>
                <w:szCs w:val="21"/>
                <w:lang w:val="en-US" w:eastAsia="zh-CN"/>
              </w:rPr>
            </w:pPr>
            <w:r>
              <w:rPr>
                <w:rFonts w:hint="eastAsia" w:ascii="宋体" w:hAnsi="宋体" w:cs="宋体"/>
                <w:szCs w:val="21"/>
                <w:lang w:val="en-US" w:eastAsia="zh-CN"/>
              </w:rPr>
              <w:t>其他特殊情况先与我司沟通再回复客户。</w:t>
            </w:r>
          </w:p>
        </w:tc>
        <w:tc>
          <w:tcPr>
            <w:tcW w:w="1290" w:type="dxa"/>
            <w:vAlign w:val="center"/>
          </w:tcPr>
          <w:p>
            <w:pPr>
              <w:jc w:val="center"/>
              <w:rPr>
                <w:rFonts w:hint="eastAsia"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ascii="宋体" w:hAnsi="宋体" w:cs="宋体"/>
                <w:b/>
                <w:bCs/>
              </w:rPr>
            </w:pPr>
            <w:r>
              <w:rPr>
                <w:rFonts w:hint="eastAsia" w:ascii="宋体" w:hAnsi="宋体" w:cs="宋体"/>
                <w:b/>
                <w:bCs/>
                <w:lang w:val="en-US" w:eastAsia="zh-CN"/>
              </w:rPr>
              <w:t>三</w:t>
            </w:r>
          </w:p>
        </w:tc>
        <w:tc>
          <w:tcPr>
            <w:tcW w:w="6975" w:type="dxa"/>
            <w:vAlign w:val="center"/>
          </w:tcPr>
          <w:p>
            <w:pPr>
              <w:jc w:val="left"/>
              <w:rPr>
                <w:rFonts w:hint="default" w:ascii="宋体" w:hAnsi="宋体" w:eastAsia="宋体" w:cs="宋体"/>
                <w:b/>
                <w:bCs/>
                <w:lang w:val="en-US" w:eastAsia="zh-CN"/>
              </w:rPr>
            </w:pPr>
            <w:r>
              <w:rPr>
                <w:rFonts w:hint="eastAsia" w:ascii="宋体" w:hAnsi="宋体" w:cs="宋体"/>
                <w:b/>
                <w:bCs/>
                <w:lang w:val="en-US" w:eastAsia="zh-CN"/>
              </w:rPr>
              <w:t>其他</w:t>
            </w:r>
          </w:p>
        </w:tc>
        <w:tc>
          <w:tcPr>
            <w:tcW w:w="1290" w:type="dxa"/>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eastAsia="宋体" w:cs="宋体"/>
                <w:b/>
                <w:bCs/>
                <w:lang w:eastAsia="zh-CN"/>
              </w:rPr>
            </w:pPr>
            <w:r>
              <w:rPr>
                <w:rFonts w:hint="eastAsia" w:ascii="宋体" w:hAnsi="宋体" w:cs="宋体"/>
                <w:b/>
                <w:bCs/>
                <w:lang w:val="en-US" w:eastAsia="zh-CN"/>
              </w:rPr>
              <w:t>3.1</w:t>
            </w:r>
          </w:p>
        </w:tc>
        <w:tc>
          <w:tcPr>
            <w:tcW w:w="6975" w:type="dxa"/>
            <w:vAlign w:val="center"/>
          </w:tcPr>
          <w:p>
            <w:pPr>
              <w:jc w:val="left"/>
              <w:rPr>
                <w:rFonts w:hint="default" w:ascii="宋体" w:hAnsi="宋体" w:eastAsia="宋体" w:cs="宋体"/>
                <w:b/>
                <w:bCs/>
                <w:lang w:val="en-US" w:eastAsia="zh-CN"/>
              </w:rPr>
            </w:pPr>
            <w:r>
              <w:rPr>
                <w:rFonts w:hint="eastAsia" w:ascii="宋体" w:hAnsi="宋体" w:cs="宋体"/>
                <w:b/>
                <w:bCs/>
                <w:szCs w:val="21"/>
                <w:lang w:val="en-US" w:eastAsia="zh-CN"/>
              </w:rPr>
              <w:t>账单</w:t>
            </w:r>
          </w:p>
        </w:tc>
        <w:tc>
          <w:tcPr>
            <w:tcW w:w="1290" w:type="dxa"/>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b/>
                <w:bCs/>
                <w:lang w:val="en-US" w:eastAsia="zh-CN"/>
              </w:rPr>
            </w:pPr>
            <w:r>
              <w:rPr>
                <w:rFonts w:hint="eastAsia" w:ascii="宋体" w:hAnsi="宋体" w:cs="宋体"/>
              </w:rPr>
              <w:t>URS</w:t>
            </w:r>
            <w:r>
              <w:rPr>
                <w:rFonts w:hint="eastAsia" w:ascii="宋体" w:hAnsi="宋体" w:cs="宋体"/>
                <w:lang w:val="en-US" w:eastAsia="zh-CN"/>
              </w:rPr>
              <w:t>21</w:t>
            </w:r>
          </w:p>
        </w:tc>
        <w:tc>
          <w:tcPr>
            <w:tcW w:w="6975" w:type="dxa"/>
            <w:vAlign w:val="center"/>
          </w:tcPr>
          <w:p>
            <w:pPr>
              <w:jc w:val="left"/>
              <w:rPr>
                <w:rFonts w:hint="default" w:ascii="宋体" w:hAnsi="宋体" w:eastAsia="宋体" w:cs="宋体"/>
                <w:lang w:val="en-US" w:eastAsia="zh-CN"/>
              </w:rPr>
            </w:pPr>
            <w:r>
              <w:rPr>
                <w:rFonts w:hint="eastAsia" w:ascii="宋体" w:hAnsi="宋体" w:cs="宋体"/>
                <w:szCs w:val="21"/>
                <w:lang w:val="en-US" w:eastAsia="zh-CN"/>
              </w:rPr>
              <w:t>投标单位</w:t>
            </w:r>
            <w:r>
              <w:rPr>
                <w:rFonts w:hint="eastAsia" w:ascii="宋体" w:hAnsi="宋体" w:cs="宋体"/>
                <w:lang w:val="en-US" w:eastAsia="zh-CN"/>
              </w:rPr>
              <w:t>27日将上月26日-本月25日账单准确无误的交予我司。</w:t>
            </w:r>
          </w:p>
        </w:tc>
        <w:tc>
          <w:tcPr>
            <w:tcW w:w="1290" w:type="dxa"/>
            <w:vAlign w:val="center"/>
          </w:tcPr>
          <w:p>
            <w:pPr>
              <w:jc w:val="center"/>
              <w:rPr>
                <w:rFonts w:ascii="宋体" w:hAnsi="宋体" w:cs="宋体"/>
              </w:rPr>
            </w:pPr>
            <w:r>
              <w:rPr>
                <w:rFonts w:hint="eastAsia" w:ascii="宋体" w:hAnsi="宋体" w:cs="宋体"/>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r>
              <w:rPr>
                <w:rFonts w:hint="eastAsia" w:ascii="宋体" w:hAnsi="宋体" w:cs="宋体"/>
                <w:b/>
                <w:bCs/>
                <w:lang w:val="en-US" w:eastAsia="zh-CN"/>
              </w:rPr>
              <w:t>3.2</w:t>
            </w:r>
          </w:p>
        </w:tc>
        <w:tc>
          <w:tcPr>
            <w:tcW w:w="6975" w:type="dxa"/>
            <w:vAlign w:val="center"/>
          </w:tcPr>
          <w:p>
            <w:pPr>
              <w:jc w:val="left"/>
              <w:rPr>
                <w:rFonts w:hint="default" w:ascii="宋体" w:hAnsi="宋体" w:cs="宋体"/>
                <w:lang w:val="en-US" w:eastAsia="zh-CN"/>
              </w:rPr>
            </w:pPr>
            <w:r>
              <w:rPr>
                <w:rFonts w:hint="eastAsia" w:ascii="宋体" w:hAnsi="宋体" w:cs="宋体"/>
                <w:b/>
                <w:bCs/>
                <w:szCs w:val="21"/>
                <w:lang w:val="en-US" w:eastAsia="zh-CN"/>
              </w:rPr>
              <w:t>客服</w:t>
            </w:r>
          </w:p>
        </w:tc>
        <w:tc>
          <w:tcPr>
            <w:tcW w:w="1290" w:type="dxa"/>
            <w:vAlign w:val="center"/>
          </w:tcPr>
          <w:p>
            <w:pPr>
              <w:jc w:val="cente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lang w:val="en-US" w:eastAsia="zh-CN"/>
              </w:rPr>
            </w:pPr>
            <w:r>
              <w:rPr>
                <w:rFonts w:hint="eastAsia" w:ascii="宋体" w:hAnsi="宋体" w:cs="宋体"/>
              </w:rPr>
              <w:t>URS</w:t>
            </w:r>
            <w:r>
              <w:rPr>
                <w:rFonts w:hint="eastAsia" w:ascii="宋体" w:hAnsi="宋体" w:cs="宋体"/>
                <w:lang w:val="en-US" w:eastAsia="zh-CN"/>
              </w:rPr>
              <w:t>22</w:t>
            </w:r>
          </w:p>
        </w:tc>
        <w:tc>
          <w:tcPr>
            <w:tcW w:w="6975" w:type="dxa"/>
            <w:vAlign w:val="center"/>
          </w:tcPr>
          <w:p>
            <w:pPr>
              <w:jc w:val="left"/>
              <w:rPr>
                <w:rFonts w:hint="default" w:ascii="宋体" w:hAnsi="宋体" w:cs="宋体"/>
                <w:lang w:val="en-US" w:eastAsia="zh-CN"/>
              </w:rPr>
            </w:pPr>
            <w:r>
              <w:rPr>
                <w:rFonts w:hint="eastAsia" w:ascii="宋体" w:hAnsi="宋体" w:cs="宋体"/>
                <w:szCs w:val="21"/>
                <w:lang w:val="en-US" w:eastAsia="zh-CN"/>
              </w:rPr>
              <w:t>投标单位配备专门人员对应我司的咨询。</w:t>
            </w:r>
          </w:p>
        </w:tc>
        <w:tc>
          <w:tcPr>
            <w:tcW w:w="1290" w:type="dxa"/>
            <w:vAlign w:val="center"/>
          </w:tcPr>
          <w:p>
            <w:pPr>
              <w:jc w:val="center"/>
              <w:rPr>
                <w:rFonts w:hint="eastAsia" w:ascii="宋体" w:hAnsi="宋体" w:eastAsia="宋体" w:cs="宋体"/>
                <w:lang w:val="en-US" w:eastAsia="zh-CN"/>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tabs>
                <w:tab w:val="left" w:pos="413"/>
              </w:tabs>
              <w:jc w:val="center"/>
              <w:rPr>
                <w:rFonts w:hint="eastAsia" w:ascii="宋体" w:hAnsi="宋体" w:eastAsia="宋体" w:cs="宋体"/>
                <w:b/>
                <w:bCs/>
                <w:lang w:eastAsia="zh-CN"/>
              </w:rPr>
            </w:pPr>
            <w:r>
              <w:rPr>
                <w:rFonts w:hint="eastAsia" w:ascii="宋体" w:hAnsi="宋体" w:cs="宋体"/>
                <w:b/>
                <w:bCs/>
                <w:lang w:val="en-US" w:eastAsia="zh-CN"/>
              </w:rPr>
              <w:t>3.3</w:t>
            </w:r>
          </w:p>
        </w:tc>
        <w:tc>
          <w:tcPr>
            <w:tcW w:w="6975" w:type="dxa"/>
            <w:vAlign w:val="center"/>
          </w:tcPr>
          <w:p>
            <w:pPr>
              <w:jc w:val="left"/>
              <w:rPr>
                <w:rFonts w:hint="default" w:ascii="宋体" w:hAnsi="宋体" w:eastAsia="宋体" w:cs="宋体"/>
                <w:b/>
                <w:bCs/>
                <w:lang w:val="en-US" w:eastAsia="zh-CN"/>
              </w:rPr>
            </w:pPr>
            <w:r>
              <w:rPr>
                <w:rFonts w:hint="eastAsia" w:ascii="宋体" w:hAnsi="宋体" w:cs="宋体"/>
                <w:b/>
                <w:bCs/>
                <w:szCs w:val="21"/>
                <w:lang w:val="en-US" w:eastAsia="zh-CN"/>
              </w:rPr>
              <w:t>索赔</w:t>
            </w:r>
          </w:p>
        </w:tc>
        <w:tc>
          <w:tcPr>
            <w:tcW w:w="1290" w:type="dxa"/>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lang w:val="en-US" w:eastAsia="zh-CN"/>
              </w:rPr>
            </w:pPr>
            <w:r>
              <w:rPr>
                <w:rFonts w:hint="eastAsia" w:ascii="宋体" w:hAnsi="宋体" w:cs="宋体"/>
              </w:rPr>
              <w:t>URS</w:t>
            </w:r>
            <w:r>
              <w:rPr>
                <w:rFonts w:hint="eastAsia" w:ascii="宋体" w:hAnsi="宋体" w:cs="宋体"/>
                <w:lang w:val="en-US" w:eastAsia="zh-CN"/>
              </w:rPr>
              <w:t>23</w:t>
            </w:r>
          </w:p>
        </w:tc>
        <w:tc>
          <w:tcPr>
            <w:tcW w:w="6975" w:type="dxa"/>
            <w:vAlign w:val="center"/>
          </w:tcPr>
          <w:p>
            <w:pPr>
              <w:jc w:val="left"/>
              <w:rPr>
                <w:rFonts w:hint="default" w:ascii="宋体" w:hAnsi="宋体" w:cs="宋体"/>
                <w:szCs w:val="21"/>
                <w:lang w:val="en-US" w:eastAsia="zh-CN"/>
              </w:rPr>
            </w:pPr>
            <w:r>
              <w:rPr>
                <w:rFonts w:hint="eastAsia" w:ascii="宋体" w:hAnsi="宋体" w:cs="宋体"/>
                <w:szCs w:val="21"/>
                <w:lang w:val="en-US" w:eastAsia="zh-CN"/>
              </w:rPr>
              <w:t>投标单位对时效延误，运输破损等非我司原因造成的客户拒收负责，并全额赔偿我司或客户损失。</w:t>
            </w:r>
          </w:p>
        </w:tc>
        <w:tc>
          <w:tcPr>
            <w:tcW w:w="1290" w:type="dxa"/>
            <w:vAlign w:val="center"/>
          </w:tcPr>
          <w:p>
            <w:pPr>
              <w:jc w:val="center"/>
              <w:rPr>
                <w:rFonts w:hint="eastAsia" w:ascii="宋体" w:hAnsi="宋体" w:cs="宋体"/>
                <w:lang w:val="en-US" w:eastAsia="zh-CN"/>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eastAsia="宋体" w:cs="宋体"/>
                <w:b/>
                <w:bCs/>
                <w:lang w:eastAsia="zh-CN"/>
              </w:rPr>
            </w:pPr>
            <w:r>
              <w:rPr>
                <w:rFonts w:hint="eastAsia" w:ascii="宋体" w:hAnsi="宋体" w:cs="宋体"/>
                <w:b/>
                <w:bCs/>
                <w:lang w:val="en-US" w:eastAsia="zh-CN"/>
              </w:rPr>
              <w:t>3.4</w:t>
            </w:r>
          </w:p>
        </w:tc>
        <w:tc>
          <w:tcPr>
            <w:tcW w:w="6975" w:type="dxa"/>
            <w:vAlign w:val="center"/>
          </w:tcPr>
          <w:p>
            <w:pPr>
              <w:jc w:val="left"/>
              <w:rPr>
                <w:rFonts w:hint="default" w:ascii="宋体" w:hAnsi="宋体" w:eastAsia="宋体" w:cs="宋体"/>
                <w:lang w:val="en-US" w:eastAsia="zh-CN"/>
              </w:rPr>
            </w:pPr>
            <w:r>
              <w:rPr>
                <w:rFonts w:hint="eastAsia" w:ascii="宋体" w:hAnsi="宋体" w:cs="宋体"/>
                <w:b/>
                <w:bCs/>
                <w:szCs w:val="21"/>
                <w:lang w:val="en-US" w:eastAsia="zh-CN"/>
              </w:rPr>
              <w:t>时效</w:t>
            </w:r>
          </w:p>
        </w:tc>
        <w:tc>
          <w:tcPr>
            <w:tcW w:w="1290" w:type="dxa"/>
            <w:vAlign w:val="center"/>
          </w:tcPr>
          <w:p>
            <w:pPr>
              <w:jc w:val="center"/>
              <w:rPr>
                <w:rFonts w:hint="eastAsia" w:ascii="宋体" w:hAnsi="宋体" w:eastAsia="宋体" w:cs="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cs="宋体"/>
                <w:lang w:val="en-US"/>
              </w:rPr>
            </w:pPr>
            <w:r>
              <w:rPr>
                <w:rFonts w:hint="eastAsia" w:ascii="宋体" w:hAnsi="宋体" w:cs="宋体"/>
                <w:color w:val="auto"/>
              </w:rPr>
              <w:t>URS</w:t>
            </w:r>
            <w:r>
              <w:rPr>
                <w:rFonts w:hint="eastAsia" w:ascii="宋体" w:hAnsi="宋体" w:cs="宋体"/>
                <w:color w:val="auto"/>
                <w:lang w:val="en-US" w:eastAsia="zh-CN"/>
              </w:rPr>
              <w:t>24</w:t>
            </w:r>
          </w:p>
        </w:tc>
        <w:tc>
          <w:tcPr>
            <w:tcW w:w="6975" w:type="dxa"/>
            <w:vAlign w:val="center"/>
          </w:tcPr>
          <w:p>
            <w:pPr>
              <w:jc w:val="left"/>
              <w:rPr>
                <w:rFonts w:hint="default" w:ascii="宋体" w:hAnsi="宋体" w:cs="宋体"/>
                <w:szCs w:val="21"/>
                <w:lang w:val="en-US" w:eastAsia="zh-CN"/>
              </w:rPr>
            </w:pPr>
            <w:r>
              <w:rPr>
                <w:rFonts w:hint="eastAsia" w:ascii="宋体" w:hAnsi="宋体" w:cs="宋体"/>
                <w:szCs w:val="21"/>
                <w:lang w:val="en-US" w:eastAsia="zh-CN"/>
              </w:rPr>
              <w:t>投标单位严格遵守时效。</w:t>
            </w:r>
          </w:p>
        </w:tc>
        <w:tc>
          <w:tcPr>
            <w:tcW w:w="1290" w:type="dxa"/>
            <w:vAlign w:val="center"/>
          </w:tcPr>
          <w:p>
            <w:pPr>
              <w:jc w:val="center"/>
              <w:rPr>
                <w:rFonts w:hint="eastAsia" w:ascii="宋体" w:hAnsi="宋体" w:cs="宋体"/>
                <w:lang w:val="en-US" w:eastAsia="zh-CN"/>
              </w:rPr>
            </w:pPr>
            <w:r>
              <w:rPr>
                <w:rFonts w:hint="eastAsia" w:ascii="宋体" w:hAnsi="宋体" w:cs="宋体"/>
                <w:color w:val="auto"/>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eastAsia="宋体" w:cs="宋体"/>
                <w:b/>
                <w:bCs/>
                <w:lang w:eastAsia="zh-CN"/>
              </w:rPr>
            </w:pPr>
            <w:r>
              <w:rPr>
                <w:rFonts w:hint="eastAsia" w:ascii="宋体" w:hAnsi="宋体" w:cs="宋体"/>
                <w:b/>
                <w:bCs/>
                <w:lang w:val="en-US" w:eastAsia="zh-CN"/>
              </w:rPr>
              <w:t>3.5</w:t>
            </w:r>
          </w:p>
        </w:tc>
        <w:tc>
          <w:tcPr>
            <w:tcW w:w="6975" w:type="dxa"/>
            <w:vAlign w:val="center"/>
          </w:tcPr>
          <w:p>
            <w:pPr>
              <w:jc w:val="left"/>
              <w:rPr>
                <w:rFonts w:hint="default" w:ascii="宋体" w:hAnsi="宋体" w:cs="宋体"/>
                <w:lang w:val="en-US"/>
              </w:rPr>
            </w:pPr>
            <w:r>
              <w:rPr>
                <w:rFonts w:hint="eastAsia" w:ascii="宋体" w:hAnsi="宋体" w:cs="宋体"/>
                <w:b/>
                <w:bCs/>
                <w:szCs w:val="21"/>
                <w:lang w:val="en-US" w:eastAsia="zh-CN"/>
              </w:rPr>
              <w:t>其他</w:t>
            </w:r>
          </w:p>
        </w:tc>
        <w:tc>
          <w:tcPr>
            <w:tcW w:w="1290" w:type="dxa"/>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lang w:val="en-US" w:eastAsia="zh-CN"/>
              </w:rPr>
            </w:pPr>
            <w:r>
              <w:rPr>
                <w:rFonts w:hint="eastAsia" w:ascii="宋体" w:hAnsi="宋体" w:cs="宋体"/>
                <w:color w:val="auto"/>
              </w:rPr>
              <w:t>URS</w:t>
            </w:r>
            <w:r>
              <w:rPr>
                <w:rFonts w:hint="eastAsia" w:ascii="宋体" w:hAnsi="宋体" w:cs="宋体"/>
                <w:color w:val="auto"/>
                <w:lang w:val="en-US" w:eastAsia="zh-CN"/>
              </w:rPr>
              <w:t>25</w:t>
            </w:r>
          </w:p>
        </w:tc>
        <w:tc>
          <w:tcPr>
            <w:tcW w:w="6975" w:type="dxa"/>
            <w:vAlign w:val="center"/>
          </w:tcPr>
          <w:p>
            <w:pPr>
              <w:jc w:val="left"/>
              <w:rPr>
                <w:rFonts w:hint="default" w:ascii="宋体" w:hAnsi="宋体" w:cs="宋体"/>
                <w:szCs w:val="21"/>
                <w:lang w:val="en-US" w:eastAsia="zh-CN"/>
              </w:rPr>
            </w:pPr>
            <w:r>
              <w:rPr>
                <w:rFonts w:hint="eastAsia" w:ascii="宋体" w:hAnsi="宋体" w:cs="宋体"/>
                <w:szCs w:val="21"/>
                <w:lang w:val="en-US" w:eastAsia="zh-CN"/>
              </w:rPr>
              <w:t>投标单位在运输过程出现各种问题要与我司沟通，并有应急预案。</w:t>
            </w:r>
          </w:p>
        </w:tc>
        <w:tc>
          <w:tcPr>
            <w:tcW w:w="1290" w:type="dxa"/>
            <w:vAlign w:val="center"/>
          </w:tcPr>
          <w:p>
            <w:pPr>
              <w:jc w:val="center"/>
              <w:rPr>
                <w:rFonts w:hint="eastAsia" w:ascii="宋体" w:hAnsi="宋体" w:cs="宋体"/>
              </w:rPr>
            </w:pPr>
            <w:r>
              <w:rPr>
                <w:rFonts w:hint="eastAsia" w:ascii="宋体" w:hAnsi="宋体" w:cs="宋体"/>
                <w:color w:val="auto"/>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b/>
                <w:bCs/>
                <w:lang w:val="en-US" w:eastAsia="zh-CN"/>
              </w:rPr>
            </w:pPr>
            <w:r>
              <w:rPr>
                <w:rFonts w:hint="eastAsia" w:ascii="宋体" w:hAnsi="宋体" w:cs="宋体"/>
                <w:color w:val="auto"/>
              </w:rPr>
              <w:t>URS</w:t>
            </w:r>
            <w:r>
              <w:rPr>
                <w:rFonts w:hint="eastAsia" w:ascii="宋体" w:hAnsi="宋体" w:cs="宋体"/>
                <w:color w:val="auto"/>
                <w:lang w:val="en-US" w:eastAsia="zh-CN"/>
              </w:rPr>
              <w:t>26</w:t>
            </w:r>
          </w:p>
        </w:tc>
        <w:tc>
          <w:tcPr>
            <w:tcW w:w="6975" w:type="dxa"/>
            <w:vAlign w:val="center"/>
          </w:tcPr>
          <w:p>
            <w:pPr>
              <w:jc w:val="left"/>
              <w:rPr>
                <w:rFonts w:hint="default" w:ascii="宋体" w:hAnsi="宋体" w:cs="宋体"/>
                <w:lang w:val="en-US"/>
              </w:rPr>
            </w:pPr>
            <w:r>
              <w:rPr>
                <w:rFonts w:hint="eastAsia" w:ascii="宋体" w:hAnsi="宋体" w:cs="宋体"/>
                <w:szCs w:val="21"/>
                <w:lang w:val="en-US" w:eastAsia="zh-CN"/>
              </w:rPr>
              <w:t>投标单位为每次发运进行投保。</w:t>
            </w:r>
          </w:p>
        </w:tc>
        <w:tc>
          <w:tcPr>
            <w:tcW w:w="1290" w:type="dxa"/>
            <w:vAlign w:val="center"/>
          </w:tcPr>
          <w:p>
            <w:pPr>
              <w:jc w:val="center"/>
              <w:rPr>
                <w:rFonts w:ascii="宋体" w:hAnsi="宋体" w:cs="宋体"/>
              </w:rPr>
            </w:pPr>
            <w:r>
              <w:rPr>
                <w:rFonts w:hint="eastAsia" w:ascii="宋体" w:hAnsi="宋体" w:cs="宋体"/>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rPr>
            </w:pPr>
          </w:p>
        </w:tc>
        <w:tc>
          <w:tcPr>
            <w:tcW w:w="6975" w:type="dxa"/>
            <w:vAlign w:val="center"/>
          </w:tcPr>
          <w:p>
            <w:pPr>
              <w:jc w:val="left"/>
              <w:rPr>
                <w:rFonts w:hint="default" w:ascii="宋体" w:hAnsi="宋体" w:cs="宋体"/>
                <w:szCs w:val="21"/>
                <w:lang w:val="en-US" w:eastAsia="zh-CN"/>
              </w:rPr>
            </w:pPr>
          </w:p>
        </w:tc>
        <w:tc>
          <w:tcPr>
            <w:tcW w:w="1290" w:type="dxa"/>
            <w:vAlign w:val="center"/>
          </w:tcPr>
          <w:p>
            <w:pPr>
              <w:jc w:val="center"/>
              <w:rPr>
                <w:rFonts w:hint="eastAsia" w:ascii="宋体" w:hAnsi="宋体" w:eastAsia="宋体" w:cs="宋体"/>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b/>
                <w:bCs/>
                <w:color w:val="auto"/>
                <w:lang w:val="en-US" w:eastAsia="zh-CN"/>
              </w:rPr>
            </w:pPr>
          </w:p>
        </w:tc>
        <w:tc>
          <w:tcPr>
            <w:tcW w:w="6975" w:type="dxa"/>
            <w:vAlign w:val="center"/>
          </w:tcPr>
          <w:p>
            <w:pPr>
              <w:jc w:val="left"/>
              <w:rPr>
                <w:rFonts w:hint="default" w:ascii="宋体" w:hAnsi="宋体" w:cs="宋体"/>
                <w:color w:val="auto"/>
                <w:lang w:val="en-US"/>
              </w:rPr>
            </w:pPr>
          </w:p>
        </w:tc>
        <w:tc>
          <w:tcPr>
            <w:tcW w:w="1290" w:type="dxa"/>
            <w:vAlign w:val="center"/>
          </w:tcPr>
          <w:p>
            <w:pPr>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color w:val="auto"/>
              </w:rPr>
            </w:pPr>
          </w:p>
        </w:tc>
        <w:tc>
          <w:tcPr>
            <w:tcW w:w="6975" w:type="dxa"/>
            <w:vAlign w:val="center"/>
          </w:tcPr>
          <w:p>
            <w:pPr>
              <w:jc w:val="left"/>
              <w:rPr>
                <w:rFonts w:hint="default" w:ascii="宋体" w:hAnsi="宋体" w:cs="宋体"/>
                <w:szCs w:val="21"/>
                <w:lang w:val="en-US" w:eastAsia="zh-CN"/>
              </w:rPr>
            </w:pPr>
          </w:p>
        </w:tc>
        <w:tc>
          <w:tcPr>
            <w:tcW w:w="1290" w:type="dxa"/>
            <w:vAlign w:val="center"/>
          </w:tcPr>
          <w:p>
            <w:pPr>
              <w:jc w:val="center"/>
              <w:rPr>
                <w:rFonts w:hint="eastAsia"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color w:val="auto"/>
                <w:lang w:val="en-US" w:eastAsia="zh-CN"/>
              </w:rPr>
            </w:pPr>
          </w:p>
        </w:tc>
        <w:tc>
          <w:tcPr>
            <w:tcW w:w="6975" w:type="dxa"/>
            <w:vAlign w:val="center"/>
          </w:tcPr>
          <w:p>
            <w:pPr>
              <w:jc w:val="left"/>
              <w:rPr>
                <w:rFonts w:hint="default" w:ascii="宋体" w:hAnsi="宋体" w:cs="宋体"/>
                <w:color w:val="auto"/>
                <w:lang w:val="en-US"/>
              </w:rPr>
            </w:pPr>
          </w:p>
        </w:tc>
        <w:tc>
          <w:tcPr>
            <w:tcW w:w="1290" w:type="dxa"/>
            <w:vAlign w:val="center"/>
          </w:tcPr>
          <w:p>
            <w:pPr>
              <w:jc w:val="center"/>
              <w:rPr>
                <w:rFonts w:hint="eastAsia"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color w:val="auto"/>
              </w:rPr>
            </w:pPr>
          </w:p>
        </w:tc>
        <w:tc>
          <w:tcPr>
            <w:tcW w:w="6975" w:type="dxa"/>
            <w:vAlign w:val="center"/>
          </w:tcPr>
          <w:p>
            <w:pPr>
              <w:jc w:val="left"/>
              <w:rPr>
                <w:rFonts w:hint="default" w:ascii="宋体" w:hAnsi="宋体" w:cs="宋体"/>
                <w:szCs w:val="21"/>
                <w:lang w:val="en-US" w:eastAsia="zh-CN"/>
              </w:rPr>
            </w:pPr>
          </w:p>
        </w:tc>
        <w:tc>
          <w:tcPr>
            <w:tcW w:w="1290" w:type="dxa"/>
            <w:vAlign w:val="center"/>
          </w:tcPr>
          <w:p>
            <w:pPr>
              <w:jc w:val="center"/>
              <w:rPr>
                <w:rFonts w:hint="eastAsia" w:ascii="宋体" w:hAnsi="宋体" w:cs="宋体"/>
                <w:color w:val="auto"/>
              </w:rPr>
            </w:pPr>
          </w:p>
        </w:tc>
      </w:tr>
    </w:tbl>
    <w:p>
      <w:pPr>
        <w:pStyle w:val="20"/>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3">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3"/>
  </w:num>
  <w:num w:numId="4">
    <w:abstractNumId w:val="13"/>
  </w:num>
  <w:num w:numId="5">
    <w:abstractNumId w:val="2"/>
  </w:num>
  <w:num w:numId="6">
    <w:abstractNumId w:val="12"/>
  </w:num>
  <w:num w:numId="7">
    <w:abstractNumId w:val="9"/>
  </w:num>
  <w:num w:numId="8">
    <w:abstractNumId w:val="4"/>
  </w:num>
  <w:num w:numId="9">
    <w:abstractNumId w:val="0"/>
  </w:num>
  <w:num w:numId="10">
    <w:abstractNumId w:val="10"/>
  </w:num>
  <w:num w:numId="11">
    <w:abstractNumId w:val="8"/>
  </w:num>
  <w:num w:numId="12">
    <w:abstractNumId w:val="1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5BD6C4F"/>
    <w:rsid w:val="068A051E"/>
    <w:rsid w:val="07714A42"/>
    <w:rsid w:val="084367D4"/>
    <w:rsid w:val="084E0615"/>
    <w:rsid w:val="08E36DB2"/>
    <w:rsid w:val="09545AC8"/>
    <w:rsid w:val="0AFF4E4A"/>
    <w:rsid w:val="0B933243"/>
    <w:rsid w:val="0BD842AB"/>
    <w:rsid w:val="0BEE13A6"/>
    <w:rsid w:val="0D792EAC"/>
    <w:rsid w:val="0D8D0EA8"/>
    <w:rsid w:val="0E175D7C"/>
    <w:rsid w:val="0FD557F2"/>
    <w:rsid w:val="100F10E1"/>
    <w:rsid w:val="114C6D7B"/>
    <w:rsid w:val="119D1D5C"/>
    <w:rsid w:val="124848DD"/>
    <w:rsid w:val="12AF40AF"/>
    <w:rsid w:val="143E54A0"/>
    <w:rsid w:val="149208C7"/>
    <w:rsid w:val="17493924"/>
    <w:rsid w:val="17524BB4"/>
    <w:rsid w:val="17634B0D"/>
    <w:rsid w:val="17DD21C5"/>
    <w:rsid w:val="1A060CD7"/>
    <w:rsid w:val="1ABD1A3F"/>
    <w:rsid w:val="1C2362A8"/>
    <w:rsid w:val="1C644176"/>
    <w:rsid w:val="1C846CAA"/>
    <w:rsid w:val="1D1919F8"/>
    <w:rsid w:val="1D1E3239"/>
    <w:rsid w:val="1D447F67"/>
    <w:rsid w:val="1D511438"/>
    <w:rsid w:val="1D7E18EE"/>
    <w:rsid w:val="1D952DF5"/>
    <w:rsid w:val="1DA4399A"/>
    <w:rsid w:val="1F1727BF"/>
    <w:rsid w:val="20734F9D"/>
    <w:rsid w:val="20A24191"/>
    <w:rsid w:val="21517356"/>
    <w:rsid w:val="217E3D4D"/>
    <w:rsid w:val="21B8302F"/>
    <w:rsid w:val="21ED0E21"/>
    <w:rsid w:val="22C96A86"/>
    <w:rsid w:val="238649B8"/>
    <w:rsid w:val="23AD4E1E"/>
    <w:rsid w:val="24C741C2"/>
    <w:rsid w:val="25350541"/>
    <w:rsid w:val="268E2E7C"/>
    <w:rsid w:val="27A02191"/>
    <w:rsid w:val="27E04F0C"/>
    <w:rsid w:val="285C308D"/>
    <w:rsid w:val="28865E00"/>
    <w:rsid w:val="289A3148"/>
    <w:rsid w:val="2907617B"/>
    <w:rsid w:val="29A273A6"/>
    <w:rsid w:val="29F518B2"/>
    <w:rsid w:val="2A3B6454"/>
    <w:rsid w:val="2AE26DC9"/>
    <w:rsid w:val="2F6D3579"/>
    <w:rsid w:val="30343EB8"/>
    <w:rsid w:val="30923BB0"/>
    <w:rsid w:val="30EF510D"/>
    <w:rsid w:val="31A71994"/>
    <w:rsid w:val="31C03214"/>
    <w:rsid w:val="3371124C"/>
    <w:rsid w:val="33716BC9"/>
    <w:rsid w:val="33BB31BC"/>
    <w:rsid w:val="33DA7906"/>
    <w:rsid w:val="3436155A"/>
    <w:rsid w:val="347A6C66"/>
    <w:rsid w:val="34E83EA9"/>
    <w:rsid w:val="359C48DD"/>
    <w:rsid w:val="35F37D16"/>
    <w:rsid w:val="3674202A"/>
    <w:rsid w:val="379C09D5"/>
    <w:rsid w:val="38023102"/>
    <w:rsid w:val="384D3D8D"/>
    <w:rsid w:val="38A02D03"/>
    <w:rsid w:val="38A92A23"/>
    <w:rsid w:val="39E25AC3"/>
    <w:rsid w:val="3A601B79"/>
    <w:rsid w:val="3A9A2C2A"/>
    <w:rsid w:val="3BCD47A7"/>
    <w:rsid w:val="3C440E8D"/>
    <w:rsid w:val="3CC80902"/>
    <w:rsid w:val="3D342B6E"/>
    <w:rsid w:val="3E7034D9"/>
    <w:rsid w:val="402D4B16"/>
    <w:rsid w:val="40B567C2"/>
    <w:rsid w:val="40F23A4C"/>
    <w:rsid w:val="411A359C"/>
    <w:rsid w:val="4366434B"/>
    <w:rsid w:val="44E645F9"/>
    <w:rsid w:val="45E40A76"/>
    <w:rsid w:val="45EB594E"/>
    <w:rsid w:val="48AC304C"/>
    <w:rsid w:val="48CA449B"/>
    <w:rsid w:val="49772E24"/>
    <w:rsid w:val="4AE922E8"/>
    <w:rsid w:val="4B6C5100"/>
    <w:rsid w:val="4BE75898"/>
    <w:rsid w:val="4C0C1018"/>
    <w:rsid w:val="4C52117B"/>
    <w:rsid w:val="4DED1D23"/>
    <w:rsid w:val="4DF06CFE"/>
    <w:rsid w:val="4E1E7926"/>
    <w:rsid w:val="4E2539F2"/>
    <w:rsid w:val="4FE85234"/>
    <w:rsid w:val="50C06A6F"/>
    <w:rsid w:val="51AB25E2"/>
    <w:rsid w:val="52C77193"/>
    <w:rsid w:val="531A366F"/>
    <w:rsid w:val="53455313"/>
    <w:rsid w:val="53B7054A"/>
    <w:rsid w:val="54181E8F"/>
    <w:rsid w:val="55AB065F"/>
    <w:rsid w:val="55CE6695"/>
    <w:rsid w:val="56074CC6"/>
    <w:rsid w:val="56456AAE"/>
    <w:rsid w:val="574F5F4C"/>
    <w:rsid w:val="589715D5"/>
    <w:rsid w:val="59FA3F6D"/>
    <w:rsid w:val="5A0A5462"/>
    <w:rsid w:val="5AAF3A76"/>
    <w:rsid w:val="5ADB1E70"/>
    <w:rsid w:val="5B4C57D4"/>
    <w:rsid w:val="5C3667D4"/>
    <w:rsid w:val="5CDB033A"/>
    <w:rsid w:val="5CFA0384"/>
    <w:rsid w:val="5D422007"/>
    <w:rsid w:val="5DAF2A40"/>
    <w:rsid w:val="5E284D12"/>
    <w:rsid w:val="5F042803"/>
    <w:rsid w:val="5F5D6BEB"/>
    <w:rsid w:val="5FAD636F"/>
    <w:rsid w:val="600B149F"/>
    <w:rsid w:val="61994029"/>
    <w:rsid w:val="61F6744C"/>
    <w:rsid w:val="635D0E7E"/>
    <w:rsid w:val="63827325"/>
    <w:rsid w:val="639F5962"/>
    <w:rsid w:val="64E01543"/>
    <w:rsid w:val="65130267"/>
    <w:rsid w:val="68DA1A60"/>
    <w:rsid w:val="6A1D6B70"/>
    <w:rsid w:val="6AF56893"/>
    <w:rsid w:val="6B085BBE"/>
    <w:rsid w:val="6B0C4773"/>
    <w:rsid w:val="6B277F37"/>
    <w:rsid w:val="6B716B29"/>
    <w:rsid w:val="6C741EF9"/>
    <w:rsid w:val="6D094D94"/>
    <w:rsid w:val="6DC65A80"/>
    <w:rsid w:val="6E380D0C"/>
    <w:rsid w:val="6ED42A0E"/>
    <w:rsid w:val="6EE168B7"/>
    <w:rsid w:val="706F08A3"/>
    <w:rsid w:val="70977707"/>
    <w:rsid w:val="71033854"/>
    <w:rsid w:val="711663FD"/>
    <w:rsid w:val="714D5CAB"/>
    <w:rsid w:val="73951FFE"/>
    <w:rsid w:val="73BA04D5"/>
    <w:rsid w:val="753B3AE9"/>
    <w:rsid w:val="76190D95"/>
    <w:rsid w:val="770478DC"/>
    <w:rsid w:val="773C186D"/>
    <w:rsid w:val="78BC2324"/>
    <w:rsid w:val="78CC6D3B"/>
    <w:rsid w:val="78DC67E8"/>
    <w:rsid w:val="792340C6"/>
    <w:rsid w:val="7AAB15D2"/>
    <w:rsid w:val="7B6706DA"/>
    <w:rsid w:val="7C6A2093"/>
    <w:rsid w:val="7CBF52AE"/>
    <w:rsid w:val="7D863AB9"/>
    <w:rsid w:val="7DC70AA0"/>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10861</Words>
  <Characters>11471</Characters>
  <Lines>243</Lines>
  <Paragraphs>68</Paragraphs>
  <TotalTime>0</TotalTime>
  <ScaleCrop>false</ScaleCrop>
  <LinksUpToDate>false</LinksUpToDate>
  <CharactersWithSpaces>11940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2025-02-07T01:05:51Z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