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44974478"/>
      <w:bookmarkStart w:id="1" w:name="_Toc152042286"/>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2"/>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WKZB-2026-006</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亲和层析填料</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六五</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9</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10</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12</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13</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15</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16</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17</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18</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19</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20</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21</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22</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23</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24</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25</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26</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27</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29</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亲和层析填料</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WKZB-2026-006</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亲和层析填料</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28608"/>
      <w:bookmarkStart w:id="13" w:name="_Toc10698"/>
      <w:bookmarkStart w:id="14" w:name="_Toc6931"/>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亲和层析填料 </w:t>
      </w:r>
    </w:p>
    <w:p w14:paraId="2D1585E1">
      <w:pPr>
        <w:pStyle w:val="9"/>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数量30L</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亲和层析填料</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1963"/>
      <w:bookmarkStart w:id="16" w:name="_Toc15843"/>
      <w:bookmarkStart w:id="17" w:name="_Toc23826"/>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亲和层析填料</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14:paraId="40D3719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bookmarkStart w:id="155" w:name="_GoBack"/>
      <w:bookmarkEnd w:id="155"/>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23490"/>
      <w:bookmarkStart w:id="24" w:name="_Toc6081"/>
      <w:bookmarkStart w:id="25" w:name="_Toc28425"/>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21387"/>
      <w:bookmarkStart w:id="27" w:name="_Toc7374"/>
      <w:bookmarkStart w:id="28" w:name="_Toc11141"/>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商入围亲和层析填料项目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单次采购.</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14869"/>
      <w:bookmarkStart w:id="30" w:name="_Toc30277"/>
      <w:bookmarkStart w:id="31" w:name="_Toc16177"/>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24185"/>
      <w:bookmarkStart w:id="33" w:name="_Toc32313"/>
      <w:bookmarkStart w:id="34" w:name="_Toc21816"/>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7DCB5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152042303"/>
      <w:bookmarkStart w:id="37" w:name="_Toc390940505"/>
      <w:bookmarkStart w:id="38" w:name="_Toc144974495"/>
      <w:bookmarkStart w:id="39" w:name="_Toc233102490"/>
      <w:bookmarkStart w:id="40" w:name="_Toc179632544"/>
      <w:bookmarkStart w:id="41" w:name="_Toc29223"/>
      <w:bookmarkStart w:id="42" w:name="_Toc152045527"/>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11457A1">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根据招标公告</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2"/>
        <w:spacing w:before="0" w:after="0" w:line="360" w:lineRule="auto"/>
        <w:jc w:val="center"/>
        <w:rPr>
          <w:rFonts w:hint="eastAsia" w:ascii="宋体" w:hAnsi="宋体"/>
          <w:sz w:val="28"/>
          <w:szCs w:val="28"/>
          <w:highlight w:val="none"/>
        </w:rPr>
      </w:pPr>
      <w:bookmarkStart w:id="43" w:name="_Toc109736068"/>
      <w:bookmarkStart w:id="44" w:name="_Toc415222523"/>
      <w:bookmarkStart w:id="45" w:name="_Toc16713"/>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3"/>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Toc480942349"/>
      <w:bookmarkStart w:id="48" w:name="_Ref467988698"/>
      <w:bookmarkStart w:id="49" w:name="_Toc520356217"/>
      <w:bookmarkStart w:id="50" w:name="_Toc415222524"/>
      <w:bookmarkStart w:id="51" w:name="_Toc216582813"/>
      <w:bookmarkStart w:id="52" w:name="_Toc30412"/>
      <w:bookmarkStart w:id="53" w:name="_Toc109736069"/>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总价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3"/>
        <w:tabs>
          <w:tab w:val="left" w:pos="5580"/>
        </w:tabs>
        <w:spacing w:before="0" w:line="360" w:lineRule="auto"/>
        <w:jc w:val="center"/>
        <w:rPr>
          <w:rFonts w:hint="eastAsia" w:ascii="宋体" w:hAnsi="宋体" w:eastAsia="宋体"/>
          <w:sz w:val="21"/>
          <w:szCs w:val="21"/>
          <w:highlight w:val="none"/>
        </w:rPr>
      </w:pPr>
      <w:bookmarkStart w:id="55" w:name="_Hlt520356243"/>
      <w:bookmarkEnd w:id="55"/>
      <w:bookmarkStart w:id="56" w:name="_Hlt520355938"/>
      <w:bookmarkEnd w:id="56"/>
      <w:bookmarkStart w:id="57" w:name="_Toc520356218"/>
      <w:bookmarkStart w:id="58" w:name="_Toc216582814"/>
      <w:bookmarkStart w:id="59" w:name="_Ref467988705"/>
      <w:bookmarkStart w:id="60" w:name="_Toc480942350"/>
      <w:bookmarkStart w:id="61" w:name="_Toc415222525"/>
      <w:bookmarkStart w:id="62" w:name="_Toc109736070"/>
      <w:bookmarkStart w:id="63" w:name="_Toc19517"/>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亲和层析填料</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WKZB-2026-006</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20DE0E80">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14:paraId="7C51A5DB">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6"/>
        <w:gridCol w:w="1819"/>
        <w:gridCol w:w="1605"/>
        <w:gridCol w:w="1379"/>
        <w:gridCol w:w="1379"/>
        <w:gridCol w:w="1580"/>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986" w:type="pct"/>
            <w:vAlign w:val="center"/>
          </w:tcPr>
          <w:p w14:paraId="2B9C5326">
            <w:pPr>
              <w:spacing w:line="380" w:lineRule="exact"/>
              <w:jc w:val="center"/>
              <w:rPr>
                <w:rFonts w:ascii="仿宋" w:hAnsi="仿宋" w:eastAsia="仿宋" w:cs="仿宋"/>
                <w:sz w:val="24"/>
                <w:highlight w:val="none"/>
              </w:rPr>
            </w:pPr>
          </w:p>
        </w:tc>
        <w:tc>
          <w:tcPr>
            <w:tcW w:w="941" w:type="pct"/>
            <w:vAlign w:val="center"/>
          </w:tcPr>
          <w:p w14:paraId="7945DC75">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品牌及货号</w:t>
            </w:r>
          </w:p>
        </w:tc>
        <w:tc>
          <w:tcPr>
            <w:tcW w:w="830" w:type="pct"/>
            <w:vAlign w:val="center"/>
          </w:tcPr>
          <w:p w14:paraId="3217EAC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单价（元/L）</w:t>
            </w:r>
          </w:p>
        </w:tc>
        <w:tc>
          <w:tcPr>
            <w:tcW w:w="713" w:type="pct"/>
            <w:vAlign w:val="center"/>
          </w:tcPr>
          <w:p w14:paraId="2FF5EF85">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总价</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元</w:t>
            </w:r>
            <w:r>
              <w:rPr>
                <w:rFonts w:hint="eastAsia" w:ascii="仿宋" w:hAnsi="仿宋" w:eastAsia="仿宋" w:cs="仿宋"/>
                <w:sz w:val="24"/>
                <w:highlight w:val="none"/>
              </w:rPr>
              <w:t>）</w:t>
            </w:r>
          </w:p>
        </w:tc>
        <w:tc>
          <w:tcPr>
            <w:tcW w:w="713" w:type="pct"/>
            <w:vAlign w:val="center"/>
          </w:tcPr>
          <w:p w14:paraId="6A1C422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815" w:type="pct"/>
            <w:vAlign w:val="center"/>
          </w:tcPr>
          <w:p w14:paraId="32B39F3B">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6" w:type="pct"/>
            <w:tcBorders>
              <w:bottom w:val="single" w:color="auto" w:sz="4" w:space="0"/>
              <w:right w:val="single" w:color="auto" w:sz="4" w:space="0"/>
            </w:tcBorders>
            <w:vAlign w:val="center"/>
          </w:tcPr>
          <w:p w14:paraId="71FFFB7A">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亲和层析填料</w:t>
            </w:r>
          </w:p>
          <w:p w14:paraId="2ECADBE4">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30L</w:t>
            </w:r>
          </w:p>
        </w:tc>
        <w:tc>
          <w:tcPr>
            <w:tcW w:w="941"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center"/>
              <w:rPr>
                <w:rFonts w:hint="default" w:ascii="仿宋" w:hAnsi="仿宋" w:eastAsia="仿宋" w:cs="仿宋"/>
                <w:sz w:val="24"/>
                <w:highlight w:val="none"/>
                <w:lang w:val="en-US" w:eastAsia="zh-CN"/>
              </w:rPr>
            </w:pPr>
          </w:p>
        </w:tc>
        <w:tc>
          <w:tcPr>
            <w:tcW w:w="830" w:type="pct"/>
            <w:tcBorders>
              <w:left w:val="single" w:color="auto" w:sz="4" w:space="0"/>
              <w:bottom w:val="single" w:color="auto" w:sz="4" w:space="0"/>
              <w:right w:val="single" w:color="auto" w:sz="4" w:space="0"/>
            </w:tcBorders>
            <w:vAlign w:val="center"/>
          </w:tcPr>
          <w:p w14:paraId="3B58F0E9">
            <w:pPr>
              <w:keepNext w:val="0"/>
              <w:keepLines w:val="0"/>
              <w:widowControl/>
              <w:suppressLineNumbers w:val="0"/>
              <w:jc w:val="center"/>
              <w:textAlignment w:val="center"/>
              <w:rPr>
                <w:rFonts w:ascii="仿宋" w:hAnsi="仿宋" w:eastAsia="仿宋" w:cs="仿宋"/>
                <w:sz w:val="24"/>
                <w:highlight w:val="none"/>
              </w:rPr>
            </w:pPr>
          </w:p>
        </w:tc>
        <w:tc>
          <w:tcPr>
            <w:tcW w:w="713" w:type="pct"/>
            <w:tcBorders>
              <w:left w:val="single" w:color="auto" w:sz="4" w:space="0"/>
              <w:bottom w:val="single" w:color="auto" w:sz="4" w:space="0"/>
              <w:right w:val="single" w:color="auto" w:sz="4" w:space="0"/>
            </w:tcBorders>
            <w:vAlign w:val="center"/>
          </w:tcPr>
          <w:p w14:paraId="5360B72E">
            <w:pPr>
              <w:keepNext w:val="0"/>
              <w:keepLines w:val="0"/>
              <w:widowControl/>
              <w:suppressLineNumbers w:val="0"/>
              <w:jc w:val="center"/>
              <w:textAlignment w:val="center"/>
              <w:rPr>
                <w:rFonts w:ascii="仿宋" w:hAnsi="仿宋" w:eastAsia="仿宋" w:cs="仿宋"/>
                <w:sz w:val="24"/>
                <w:highlight w:val="none"/>
              </w:rPr>
            </w:pPr>
          </w:p>
        </w:tc>
        <w:tc>
          <w:tcPr>
            <w:tcW w:w="713" w:type="pct"/>
            <w:tcBorders>
              <w:left w:val="single" w:color="auto" w:sz="4" w:space="0"/>
              <w:bottom w:val="single" w:color="auto" w:sz="4" w:space="0"/>
              <w:right w:val="single" w:color="auto" w:sz="4" w:space="0"/>
            </w:tcBorders>
            <w:vAlign w:val="center"/>
          </w:tcPr>
          <w:p w14:paraId="5EC2FADC">
            <w:pPr>
              <w:spacing w:line="380" w:lineRule="exact"/>
              <w:jc w:val="center"/>
              <w:rPr>
                <w:rFonts w:ascii="仿宋" w:hAnsi="仿宋" w:eastAsia="仿宋" w:cs="仿宋"/>
                <w:sz w:val="24"/>
                <w:highlight w:val="none"/>
              </w:rPr>
            </w:pPr>
          </w:p>
        </w:tc>
        <w:tc>
          <w:tcPr>
            <w:tcW w:w="815" w:type="pct"/>
            <w:tcBorders>
              <w:left w:val="single" w:color="auto" w:sz="4" w:space="0"/>
              <w:bottom w:val="single" w:color="auto" w:sz="4" w:space="0"/>
            </w:tcBorders>
            <w:vAlign w:val="center"/>
          </w:tcPr>
          <w:p w14:paraId="4EF3EE4B">
            <w:pPr>
              <w:spacing w:line="380" w:lineRule="exact"/>
              <w:jc w:val="center"/>
              <w:rPr>
                <w:rFonts w:hint="default" w:ascii="仿宋" w:hAnsi="仿宋" w:eastAsia="仿宋" w:cs="仿宋"/>
                <w:sz w:val="24"/>
                <w:highlight w:val="none"/>
                <w:lang w:val="en-US" w:eastAsia="zh-CN"/>
              </w:rPr>
            </w:pPr>
          </w:p>
        </w:tc>
      </w:tr>
      <w:tr w14:paraId="6257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6"/>
            <w:vAlign w:val="center"/>
          </w:tcPr>
          <w:p w14:paraId="3C0721B0">
            <w:pPr>
              <w:pStyle w:val="20"/>
              <w:rPr>
                <w:rFonts w:hint="default" w:ascii="宋体" w:hAnsi="宋体" w:eastAsia="宋体" w:cs="Times New Roman"/>
                <w:szCs w:val="21"/>
                <w:highlight w:val="none"/>
                <w:lang w:val="en-US" w:eastAsia="zh-CN"/>
              </w:rPr>
            </w:pPr>
            <w:r>
              <w:rPr>
                <w:rFonts w:hint="eastAsia" w:ascii="宋体" w:hAnsi="宋体" w:cs="Times New Roman"/>
                <w:szCs w:val="21"/>
                <w:highlight w:val="none"/>
                <w:lang w:val="en-US" w:eastAsia="zh-CN"/>
              </w:rPr>
              <w:t>发票：可开具增值税专用发票，税率？%</w:t>
            </w: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6"/>
            <w:vAlign w:val="center"/>
          </w:tcPr>
          <w:p w14:paraId="599B69E9">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按照合同约定供货并提供质保服务</w:t>
            </w:r>
            <w:r>
              <w:rPr>
                <w:rFonts w:hint="eastAsia"/>
                <w:highlight w:val="none"/>
              </w:rPr>
              <w:t>。</w:t>
            </w:r>
          </w:p>
          <w:p w14:paraId="162E49E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6"/>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29628E7F">
      <w:pPr>
        <w:pStyle w:val="20"/>
        <w:rPr>
          <w:rFonts w:hint="eastAsia" w:ascii="宋体" w:hAnsi="宋体"/>
          <w:szCs w:val="21"/>
          <w:highlight w:val="none"/>
        </w:rPr>
      </w:pPr>
    </w:p>
    <w:p w14:paraId="57ECC546">
      <w:pPr>
        <w:pStyle w:val="25"/>
        <w:tabs>
          <w:tab w:val="left" w:pos="5580"/>
        </w:tabs>
        <w:spacing w:line="360" w:lineRule="auto"/>
        <w:ind w:left="1080" w:leftChars="257" w:hanging="540"/>
        <w:rPr>
          <w:rFonts w:hint="eastAsia" w:hAnsi="宋体"/>
          <w:szCs w:val="21"/>
          <w:highlight w:val="none"/>
        </w:rPr>
      </w:pPr>
    </w:p>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109736072"/>
      <w:bookmarkStart w:id="65" w:name="_Toc415222529"/>
      <w:bookmarkStart w:id="66" w:name="_Toc216582818"/>
    </w:p>
    <w:p w14:paraId="457F6E64">
      <w:pPr>
        <w:rPr>
          <w:rFonts w:hint="eastAsia" w:hAnsi="宋体"/>
          <w:szCs w:val="21"/>
          <w:highlight w:val="none"/>
        </w:rPr>
      </w:pPr>
      <w:r>
        <w:rPr>
          <w:rFonts w:hint="eastAsia" w:hAnsi="宋体"/>
          <w:szCs w:val="21"/>
          <w:highlight w:val="none"/>
        </w:rPr>
        <w:br w:type="page"/>
      </w:r>
    </w:p>
    <w:p w14:paraId="538C118C">
      <w:pPr>
        <w:pStyle w:val="3"/>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亲和层析填料</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WKZB-2026-006</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center"/>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付款方式：到货验收合格开具增值税发票后三个月付款，可接受50%银行承兑汇票</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center"/>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质量保证：供货产品符合招标要求</w:t>
            </w: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216582817"/>
      <w:bookmarkStart w:id="70" w:name="_Toc415222528"/>
      <w:bookmarkStart w:id="71" w:name="_Toc109736073"/>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亲和层析填料</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WKZB-2026-006</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7A4711F5">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724FB38D">
      <w:pPr>
        <w:pStyle w:val="25"/>
        <w:tabs>
          <w:tab w:val="left" w:pos="5580"/>
        </w:tabs>
        <w:spacing w:line="360" w:lineRule="auto"/>
        <w:rPr>
          <w:rFonts w:hint="eastAsia" w:hAnsi="宋体" w:cs="宋体"/>
          <w:color w:val="FF0000"/>
          <w:szCs w:val="21"/>
          <w:highlight w:val="none"/>
        </w:rPr>
      </w:pPr>
      <w:r>
        <w:rPr>
          <w:rFonts w:hint="eastAsia" w:hAnsi="宋体" w:cs="宋体"/>
          <w:color w:val="FF0000"/>
          <w:szCs w:val="21"/>
          <w:highlight w:val="none"/>
          <w:lang w:val="en-US" w:eastAsia="zh-CN"/>
        </w:rPr>
        <w:t>特别提醒：</w:t>
      </w:r>
      <w:r>
        <w:rPr>
          <w:rFonts w:hint="eastAsia" w:hAnsi="宋体" w:cs="宋体"/>
          <w:color w:val="FF0000"/>
          <w:szCs w:val="21"/>
          <w:highlight w:val="none"/>
        </w:rPr>
        <w:t>所有指标提供检测报告和标准检测方案；填料维护方案以及技术服务方案！</w:t>
      </w: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73" w:name="_Toc480942355"/>
      <w:bookmarkStart w:id="74" w:name="_Ref467988543"/>
      <w:bookmarkStart w:id="75" w:name="_Toc520356224"/>
      <w:bookmarkStart w:id="76" w:name="_Toc216582819"/>
      <w:bookmarkStart w:id="77" w:name="_Toc109736074"/>
      <w:bookmarkStart w:id="78" w:name="_Toc415222530"/>
      <w:r>
        <w:rPr>
          <w:rFonts w:hint="eastAsia" w:ascii="宋体" w:hAnsi="宋体" w:eastAsia="宋体"/>
          <w:sz w:val="21"/>
          <w:szCs w:val="21"/>
          <w:highlight w:val="none"/>
        </w:rPr>
        <w:br w:type="page"/>
      </w:r>
    </w:p>
    <w:p w14:paraId="53B52B1A">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273711"/>
      <w:bookmarkEnd w:id="82"/>
      <w:bookmarkStart w:id="83" w:name="_Hlt520274121"/>
      <w:bookmarkEnd w:id="83"/>
      <w:bookmarkStart w:id="84" w:name="_Hlt520343000"/>
      <w:bookmarkEnd w:id="84"/>
      <w:bookmarkStart w:id="85" w:name="_Hlt520350918"/>
      <w:bookmarkEnd w:id="85"/>
      <w:bookmarkStart w:id="86" w:name="_Hlt520271212"/>
      <w:bookmarkEnd w:id="86"/>
      <w:bookmarkStart w:id="87" w:name="_Hlt520273973"/>
      <w:bookmarkEnd w:id="87"/>
      <w:bookmarkStart w:id="88" w:name="_Hlt520274065"/>
      <w:bookmarkEnd w:id="88"/>
      <w:bookmarkStart w:id="89" w:name="_Hlt520350957"/>
      <w:bookmarkEnd w:id="89"/>
      <w:bookmarkStart w:id="90" w:name="_Hlt520343392"/>
      <w:bookmarkEnd w:id="90"/>
      <w:bookmarkStart w:id="91" w:name="_Hlt520274407"/>
      <w:bookmarkEnd w:id="91"/>
      <w:bookmarkStart w:id="92" w:name="_Hlt520274393"/>
      <w:bookmarkEnd w:id="92"/>
      <w:bookmarkStart w:id="93" w:name="_Toc520356228"/>
      <w:bookmarkStart w:id="94" w:name="_Ref467990064"/>
      <w:bookmarkStart w:id="95" w:name="_Ref467988471"/>
      <w:bookmarkStart w:id="96" w:name="_Toc520356229"/>
      <w:bookmarkStart w:id="97" w:name="_Toc520125061"/>
      <w:bookmarkStart w:id="98" w:name="_Toc520125062"/>
      <w:bookmarkStart w:id="99" w:name="_Ref467990100"/>
      <w:bookmarkStart w:id="100" w:name="_Toc480942358"/>
      <w:bookmarkStart w:id="101" w:name="_Ref467990058"/>
      <w:bookmarkStart w:id="102" w:name="_Ref467990101"/>
      <w:bookmarkStart w:id="103" w:name="_Ref467988479"/>
      <w:bookmarkStart w:id="104" w:name="_Toc480942357"/>
      <w:bookmarkStart w:id="105" w:name="_Ref467988485"/>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19882"/>
      <w:bookmarkStart w:id="112"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亲和层析填料</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WKZB-2026-006</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220229434"/>
      <w:bookmarkStart w:id="118" w:name="_Toc109736075"/>
      <w:bookmarkStart w:id="119" w:name="_Toc219175639"/>
      <w:bookmarkStart w:id="120" w:name="_Toc216582826"/>
      <w:bookmarkStart w:id="121" w:name="_Toc218935355"/>
    </w:p>
    <w:p w14:paraId="06532F72">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3"/>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2E05B3AF">
      <w:pPr>
        <w:keepNext/>
        <w:numPr>
          <w:ilvl w:val="0"/>
          <w:numId w:val="11"/>
        </w:numPr>
        <w:spacing w:before="240" w:after="60"/>
        <w:jc w:val="both"/>
        <w:outlineLvl w:val="0"/>
        <w:rPr>
          <w:rFonts w:hint="eastAsia" w:ascii="Times New Roman" w:hAnsi="Times New Roman" w:eastAsia="宋体" w:cs="Times New Roman"/>
          <w:b/>
          <w:caps w:val="0"/>
          <w:kern w:val="28"/>
          <w:sz w:val="30"/>
          <w:lang w:val="fr-FR" w:eastAsia="zh-CN" w:bidi="ar-SA"/>
        </w:rPr>
      </w:pPr>
      <w:bookmarkStart w:id="128" w:name="_Toc29979"/>
      <w:r>
        <w:rPr>
          <w:rFonts w:hint="eastAsia" w:ascii="Times New Roman" w:hAnsi="Times New Roman" w:eastAsia="宋体" w:cs="Times New Roman"/>
          <w:b/>
          <w:caps w:val="0"/>
          <w:kern w:val="28"/>
          <w:sz w:val="30"/>
          <w:lang w:val="fr-FR" w:eastAsia="zh-CN" w:bidi="ar-SA"/>
        </w:rPr>
        <w:t>目的</w:t>
      </w:r>
      <w:bookmarkEnd w:id="128"/>
    </w:p>
    <w:p w14:paraId="361B08F2">
      <w:pPr>
        <w:widowControl/>
        <w:spacing w:line="360" w:lineRule="auto"/>
        <w:jc w:val="left"/>
        <w:rPr>
          <w:rFonts w:hint="eastAsia" w:ascii="Times New Roman" w:hAnsi="Times New Roman" w:eastAsia="宋体" w:cs="Times New Roman"/>
          <w:kern w:val="0"/>
          <w:sz w:val="20"/>
          <w:szCs w:val="20"/>
          <w:lang w:val="fr-FR"/>
        </w:rPr>
      </w:pPr>
      <w:bookmarkStart w:id="129" w:name="_Hlk528847756"/>
      <w:r>
        <w:rPr>
          <w:rFonts w:ascii="Times New Roman" w:hAnsi="Times New Roman" w:eastAsia="宋体" w:cs="Times New Roman"/>
          <w:kern w:val="0"/>
          <w:sz w:val="20"/>
          <w:szCs w:val="20"/>
          <w:lang w:val="fr-FR"/>
        </w:rPr>
        <w:t>本</w:t>
      </w:r>
      <w:r>
        <w:rPr>
          <w:rFonts w:hint="eastAsia" w:ascii="Times New Roman" w:hAnsi="Times New Roman" w:eastAsia="宋体" w:cs="Times New Roman"/>
          <w:kern w:val="0"/>
          <w:sz w:val="20"/>
          <w:szCs w:val="20"/>
          <w:lang w:val="fr-FR"/>
        </w:rPr>
        <w:t>URS</w:t>
      </w:r>
      <w:r>
        <w:rPr>
          <w:rFonts w:ascii="Times New Roman" w:hAnsi="Times New Roman" w:eastAsia="宋体" w:cs="Times New Roman"/>
          <w:kern w:val="0"/>
          <w:sz w:val="20"/>
          <w:szCs w:val="20"/>
          <w:lang w:val="fr-FR"/>
        </w:rPr>
        <w:t>文件旨在以文件的形式描述</w:t>
      </w:r>
      <w:r>
        <w:rPr>
          <w:rFonts w:hint="eastAsia" w:ascii="Times New Roman" w:hAnsi="Times New Roman" w:eastAsia="宋体" w:cs="Times New Roman"/>
          <w:kern w:val="0"/>
          <w:sz w:val="20"/>
          <w:szCs w:val="20"/>
          <w:lang w:val="fr-FR"/>
        </w:rPr>
        <w:t>国药集团</w:t>
      </w:r>
      <w:r>
        <w:rPr>
          <w:rFonts w:hint="eastAsia" w:ascii="Arial" w:hAnsi="Arial" w:eastAsia="宋体" w:cs="Arial"/>
          <w:bCs/>
          <w:kern w:val="0"/>
          <w:sz w:val="20"/>
          <w:szCs w:val="21"/>
          <w:lang w:val="fr-FR"/>
        </w:rPr>
        <w:t>扬州威克生物工程有限公司</w:t>
      </w:r>
      <w:r>
        <w:rPr>
          <w:rFonts w:hint="eastAsia" w:ascii="Times New Roman" w:hAnsi="Times New Roman" w:eastAsia="宋体" w:cs="Times New Roman"/>
          <w:kern w:val="0"/>
          <w:sz w:val="20"/>
          <w:szCs w:val="20"/>
          <w:lang w:val="en-US" w:eastAsia="zh-CN"/>
        </w:rPr>
        <w:t>灭活苗综合车间菌苗纯化项目</w:t>
      </w:r>
      <w:r>
        <w:rPr>
          <w:rFonts w:hint="eastAsia" w:ascii="Arial" w:hAnsi="Arial" w:eastAsia="宋体" w:cs="Arial"/>
          <w:bCs/>
          <w:kern w:val="0"/>
          <w:sz w:val="20"/>
          <w:szCs w:val="21"/>
          <w:lang w:val="fr-FR"/>
        </w:rPr>
        <w:t>中</w:t>
      </w:r>
      <w:r>
        <w:rPr>
          <w:rFonts w:ascii="Times New Roman" w:hAnsi="Times New Roman" w:eastAsia="宋体" w:cs="Times New Roman"/>
          <w:kern w:val="0"/>
          <w:sz w:val="20"/>
          <w:szCs w:val="20"/>
          <w:lang w:val="fr-FR"/>
        </w:rPr>
        <w:t>的期望及需要。是合同等商业行为</w:t>
      </w:r>
      <w:r>
        <w:rPr>
          <w:rFonts w:hint="eastAsia" w:ascii="Times New Roman" w:hAnsi="Times New Roman" w:eastAsia="宋体" w:cs="Times New Roman"/>
          <w:kern w:val="0"/>
          <w:sz w:val="20"/>
          <w:szCs w:val="20"/>
          <w:lang w:val="en-US" w:eastAsia="zh-CN"/>
        </w:rPr>
        <w:t>及</w:t>
      </w:r>
      <w:r>
        <w:rPr>
          <w:rFonts w:ascii="Times New Roman" w:hAnsi="Times New Roman" w:eastAsia="宋体" w:cs="Times New Roman"/>
          <w:kern w:val="0"/>
          <w:sz w:val="20"/>
          <w:szCs w:val="20"/>
          <w:lang w:val="fr-FR"/>
        </w:rPr>
        <w:t>后续技术、质量体系工作的基础</w:t>
      </w:r>
      <w:r>
        <w:rPr>
          <w:rFonts w:hint="eastAsia" w:ascii="Times New Roman" w:hAnsi="Times New Roman" w:eastAsia="宋体" w:cs="Times New Roman"/>
          <w:kern w:val="0"/>
          <w:sz w:val="20"/>
          <w:szCs w:val="20"/>
          <w:lang w:val="fr-FR"/>
        </w:rPr>
        <w:t>，并</w:t>
      </w:r>
      <w:r>
        <w:rPr>
          <w:rFonts w:ascii="Times New Roman" w:hAnsi="Times New Roman" w:eastAsia="宋体" w:cs="Times New Roman"/>
          <w:kern w:val="0"/>
          <w:sz w:val="20"/>
          <w:szCs w:val="20"/>
          <w:lang w:val="fr-FR"/>
        </w:rPr>
        <w:t>将作为验收的依据。</w:t>
      </w:r>
      <w:r>
        <w:rPr>
          <w:rFonts w:hint="eastAsia" w:ascii="Times New Roman" w:hAnsi="Times New Roman" w:eastAsia="宋体" w:cs="Times New Roman"/>
          <w:kern w:val="0"/>
          <w:sz w:val="20"/>
          <w:szCs w:val="20"/>
          <w:lang w:val="fr-FR"/>
        </w:rPr>
        <w:t>以</w:t>
      </w:r>
      <w:r>
        <w:rPr>
          <w:rFonts w:ascii="Times New Roman" w:hAnsi="Times New Roman" w:eastAsia="宋体" w:cs="Times New Roman"/>
          <w:kern w:val="0"/>
          <w:sz w:val="20"/>
          <w:szCs w:val="20"/>
          <w:lang w:val="fr-FR"/>
        </w:rPr>
        <w:t>保证制造商所提供的产品符合我公司</w:t>
      </w:r>
      <w:r>
        <w:rPr>
          <w:rFonts w:hint="eastAsia" w:ascii="Times New Roman" w:hAnsi="Times New Roman" w:eastAsia="宋体" w:cs="Times New Roman"/>
          <w:kern w:val="0"/>
          <w:sz w:val="20"/>
          <w:szCs w:val="20"/>
          <w:lang w:val="en-US" w:eastAsia="zh-CN"/>
        </w:rPr>
        <w:t>工艺</w:t>
      </w:r>
      <w:r>
        <w:rPr>
          <w:rFonts w:ascii="Times New Roman" w:hAnsi="Times New Roman" w:eastAsia="宋体" w:cs="Times New Roman"/>
          <w:kern w:val="0"/>
          <w:sz w:val="20"/>
          <w:szCs w:val="20"/>
          <w:lang w:val="fr-FR"/>
        </w:rPr>
        <w:t>的所有要求。</w:t>
      </w:r>
      <w:bookmarkEnd w:id="129"/>
    </w:p>
    <w:p w14:paraId="5AF70C03">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0" w:name="_Toc28598"/>
      <w:bookmarkStart w:id="131" w:name="_Toc26338"/>
      <w:r>
        <w:rPr>
          <w:rFonts w:hint="eastAsia" w:ascii="Times New Roman" w:hAnsi="Times New Roman" w:eastAsia="宋体" w:cs="Times New Roman"/>
          <w:b/>
          <w:caps/>
          <w:kern w:val="28"/>
          <w:sz w:val="30"/>
          <w:lang w:val="en-US" w:eastAsia="zh-CN" w:bidi="ar-SA"/>
        </w:rPr>
        <w:t>范围</w:t>
      </w:r>
      <w:bookmarkEnd w:id="130"/>
      <w:bookmarkEnd w:id="131"/>
    </w:p>
    <w:p w14:paraId="66AF2C2F">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US" w:eastAsia="zh-CN"/>
        </w:rPr>
        <w:t>用于生产部灭活苗综合车间菌苗纯化用亲和层析。</w:t>
      </w:r>
    </w:p>
    <w:p w14:paraId="2A67FF13">
      <w:pPr>
        <w:widowControl/>
        <w:jc w:val="left"/>
        <w:rPr>
          <w:rFonts w:hint="eastAsia" w:ascii="Times New Roman" w:hAnsi="Times New Roman" w:eastAsia="宋体" w:cs="Times New Roman"/>
          <w:kern w:val="0"/>
          <w:sz w:val="20"/>
          <w:szCs w:val="20"/>
          <w:lang w:val="fr-FR"/>
        </w:rPr>
      </w:pPr>
    </w:p>
    <w:p w14:paraId="5AABE374">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2" w:name="_Toc26852"/>
      <w:bookmarkStart w:id="133" w:name="_Toc5048"/>
      <w:r>
        <w:rPr>
          <w:rFonts w:hint="eastAsia" w:ascii="Times New Roman" w:hAnsi="Times New Roman" w:eastAsia="宋体" w:cs="Times New Roman"/>
          <w:b/>
          <w:caps/>
          <w:kern w:val="28"/>
          <w:sz w:val="30"/>
          <w:lang w:val="fr-FR" w:eastAsia="zh-CN" w:bidi="ar-SA"/>
        </w:rPr>
        <w:t>定义和缩略语</w:t>
      </w:r>
      <w:bookmarkEnd w:id="132"/>
      <w:bookmarkEnd w:id="133"/>
    </w:p>
    <w:tbl>
      <w:tblPr>
        <w:tblStyle w:val="52"/>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14:paraId="53AA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noWrap w:val="0"/>
            <w:vAlign w:val="center"/>
          </w:tcPr>
          <w:p w14:paraId="1DEDF9F5">
            <w:pPr>
              <w:widowControl/>
              <w:jc w:val="center"/>
              <w:rPr>
                <w:rFonts w:hint="eastAsia" w:ascii="Times New Roman" w:hAnsi="Times New Roman" w:eastAsia="宋体" w:cs="Times New Roman"/>
                <w:b/>
                <w:kern w:val="0"/>
                <w:sz w:val="20"/>
                <w:szCs w:val="20"/>
                <w:lang w:val="fr-FR"/>
              </w:rPr>
            </w:pPr>
            <w:bookmarkStart w:id="134" w:name="_Toc18809"/>
            <w:r>
              <w:rPr>
                <w:rFonts w:ascii="Times New Roman" w:hAnsi="Times New Roman" w:eastAsia="宋体" w:cs="Times New Roman"/>
                <w:b/>
                <w:kern w:val="0"/>
                <w:sz w:val="20"/>
                <w:szCs w:val="20"/>
                <w:lang w:val="fr-FR"/>
              </w:rPr>
              <w:t>缩略语</w:t>
            </w:r>
            <w:r>
              <w:rPr>
                <w:rFonts w:hint="eastAsia" w:ascii="Times New Roman" w:hAnsi="Times New Roman" w:eastAsia="宋体" w:cs="Times New Roman"/>
                <w:b/>
                <w:kern w:val="0"/>
                <w:sz w:val="20"/>
                <w:szCs w:val="20"/>
                <w:lang w:val="fr-FR"/>
              </w:rPr>
              <w:t>/术语</w:t>
            </w:r>
          </w:p>
        </w:tc>
        <w:tc>
          <w:tcPr>
            <w:tcW w:w="7205" w:type="dxa"/>
            <w:noWrap w:val="0"/>
            <w:vAlign w:val="center"/>
          </w:tcPr>
          <w:p w14:paraId="37A01E14">
            <w:pPr>
              <w:widowControl/>
              <w:jc w:val="center"/>
              <w:rPr>
                <w:rFonts w:ascii="Times New Roman" w:hAnsi="Times New Roman" w:eastAsia="宋体" w:cs="Times New Roman"/>
                <w:b/>
                <w:kern w:val="0"/>
                <w:sz w:val="20"/>
                <w:szCs w:val="20"/>
                <w:lang w:val="fr-FR"/>
              </w:rPr>
            </w:pPr>
            <w:r>
              <w:rPr>
                <w:rFonts w:ascii="Times New Roman" w:hAnsi="Times New Roman" w:eastAsia="宋体" w:cs="Times New Roman"/>
                <w:b/>
                <w:kern w:val="0"/>
                <w:sz w:val="20"/>
                <w:szCs w:val="20"/>
                <w:lang w:val="fr-FR"/>
              </w:rPr>
              <w:t>定义</w:t>
            </w:r>
          </w:p>
        </w:tc>
      </w:tr>
      <w:tr w14:paraId="23E4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02234C73">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bCs/>
                <w:kern w:val="0"/>
                <w:sz w:val="20"/>
                <w:szCs w:val="20"/>
                <w:lang w:val="en-US" w:eastAsia="zh-CN"/>
              </w:rPr>
              <w:t>URS</w:t>
            </w:r>
          </w:p>
        </w:tc>
        <w:tc>
          <w:tcPr>
            <w:tcW w:w="7205" w:type="dxa"/>
            <w:noWrap w:val="0"/>
            <w:vAlign w:val="center"/>
          </w:tcPr>
          <w:p w14:paraId="17050D1F">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User Requirement Specification用户需求说明</w:t>
            </w:r>
          </w:p>
        </w:tc>
      </w:tr>
      <w:tr w14:paraId="5AF4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5DB28DAD">
            <w:pPr>
              <w:widowControl/>
              <w:jc w:val="center"/>
              <w:rPr>
                <w:rFonts w:ascii="Times New Roman" w:hAnsi="Times New Roman" w:eastAsia="宋体" w:cs="Times New Roman"/>
                <w:kern w:val="0"/>
                <w:sz w:val="20"/>
                <w:szCs w:val="20"/>
                <w:lang w:val="fr-FR" w:eastAsia="zh-CN" w:bidi="ar-SA"/>
              </w:rPr>
            </w:pPr>
            <w:r>
              <w:rPr>
                <w:rFonts w:ascii="Times New Roman" w:hAnsi="Times New Roman" w:eastAsia="宋体" w:cs="Times New Roman"/>
                <w:bCs/>
                <w:kern w:val="0"/>
                <w:sz w:val="20"/>
                <w:szCs w:val="20"/>
                <w:lang w:val="fr-FR"/>
              </w:rPr>
              <w:t>GMP</w:t>
            </w:r>
          </w:p>
        </w:tc>
        <w:tc>
          <w:tcPr>
            <w:tcW w:w="7205" w:type="dxa"/>
            <w:noWrap w:val="0"/>
            <w:vAlign w:val="center"/>
          </w:tcPr>
          <w:p w14:paraId="1CDBA754">
            <w:pPr>
              <w:widowControl/>
              <w:jc w:val="center"/>
              <w:rPr>
                <w:rFonts w:ascii="Times New Roman" w:hAnsi="Times New Roman" w:eastAsia="宋体" w:cs="Times New Roman"/>
                <w:kern w:val="0"/>
                <w:sz w:val="20"/>
                <w:szCs w:val="20"/>
                <w:lang w:val="fr-FR" w:eastAsia="zh-CN" w:bidi="ar-SA"/>
              </w:rPr>
            </w:pPr>
            <w:r>
              <w:rPr>
                <w:rFonts w:ascii="Times New Roman" w:hAnsi="Times New Roman" w:eastAsia="宋体" w:cs="Times New Roman"/>
                <w:bCs/>
                <w:kern w:val="0"/>
                <w:sz w:val="20"/>
                <w:szCs w:val="20"/>
                <w:lang w:val="fr-FR"/>
              </w:rPr>
              <w:t>Good Manufacturing Practice    药品生产质量管理规范</w:t>
            </w:r>
          </w:p>
        </w:tc>
      </w:tr>
      <w:tr w14:paraId="1D55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4CAAF48F">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ISO</w:t>
            </w:r>
          </w:p>
        </w:tc>
        <w:tc>
          <w:tcPr>
            <w:tcW w:w="7205" w:type="dxa"/>
            <w:noWrap w:val="0"/>
            <w:vAlign w:val="center"/>
          </w:tcPr>
          <w:p w14:paraId="4F08CC1E">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International Organization for Standardization    国际标准化组织</w:t>
            </w:r>
          </w:p>
        </w:tc>
      </w:tr>
      <w:tr w14:paraId="61D4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32DDB9B2">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SOP</w:t>
            </w:r>
          </w:p>
        </w:tc>
        <w:tc>
          <w:tcPr>
            <w:tcW w:w="7205" w:type="dxa"/>
            <w:noWrap w:val="0"/>
            <w:vAlign w:val="center"/>
          </w:tcPr>
          <w:p w14:paraId="0216B49F">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Standard Operating Procedure    标准操作规程</w:t>
            </w:r>
          </w:p>
        </w:tc>
      </w:tr>
      <w:tr w14:paraId="5184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7F05F40D">
            <w:pPr>
              <w:widowControl/>
              <w:jc w:val="center"/>
              <w:rPr>
                <w:rFonts w:ascii="Times New Roman" w:hAnsi="Times New Roman" w:eastAsia="宋体" w:cs="Times New Roman"/>
                <w:bCs/>
                <w:kern w:val="0"/>
                <w:sz w:val="20"/>
                <w:szCs w:val="20"/>
                <w:lang w:val="fr-FR"/>
              </w:rPr>
            </w:pPr>
            <w:r>
              <w:rPr>
                <w:rFonts w:hint="eastAsia" w:ascii="Times New Roman" w:hAnsi="Times New Roman" w:eastAsia="宋体" w:cs="Times New Roman"/>
                <w:bCs/>
                <w:kern w:val="0"/>
                <w:sz w:val="20"/>
                <w:szCs w:val="20"/>
                <w:lang w:val="fr-FR"/>
              </w:rPr>
              <w:t>CQA</w:t>
            </w:r>
          </w:p>
        </w:tc>
        <w:tc>
          <w:tcPr>
            <w:tcW w:w="7205" w:type="dxa"/>
            <w:noWrap w:val="0"/>
            <w:vAlign w:val="center"/>
          </w:tcPr>
          <w:p w14:paraId="79D12CD3">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Critical Quality Attribute</w:t>
            </w:r>
            <w:r>
              <w:rPr>
                <w:rFonts w:hint="eastAsia" w:ascii="Times New Roman" w:hAnsi="Times New Roman" w:eastAsia="宋体" w:cs="Times New Roman"/>
                <w:bCs/>
                <w:kern w:val="0"/>
                <w:sz w:val="20"/>
                <w:szCs w:val="20"/>
                <w:lang w:val="fr-FR"/>
              </w:rPr>
              <w:t xml:space="preserve">    </w:t>
            </w:r>
            <w:r>
              <w:rPr>
                <w:rFonts w:ascii="Times New Roman" w:hAnsi="Times New Roman" w:eastAsia="宋体" w:cs="Times New Roman"/>
                <w:bCs/>
                <w:kern w:val="0"/>
                <w:sz w:val="20"/>
                <w:szCs w:val="20"/>
                <w:lang w:val="fr-FR"/>
              </w:rPr>
              <w:t>关键质量属性</w:t>
            </w:r>
          </w:p>
        </w:tc>
      </w:tr>
      <w:tr w14:paraId="2578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6EFA833D">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CPP</w:t>
            </w:r>
          </w:p>
        </w:tc>
        <w:tc>
          <w:tcPr>
            <w:tcW w:w="7205" w:type="dxa"/>
            <w:noWrap w:val="0"/>
            <w:vAlign w:val="center"/>
          </w:tcPr>
          <w:p w14:paraId="31022ED9">
            <w:pPr>
              <w:widowControl/>
              <w:jc w:val="center"/>
              <w:rPr>
                <w:rFonts w:hint="eastAsia"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Critical Process Parameter</w:t>
            </w:r>
            <w:r>
              <w:rPr>
                <w:rFonts w:hint="eastAsia" w:ascii="Times New Roman" w:hAnsi="Times New Roman" w:eastAsia="宋体" w:cs="Times New Roman"/>
                <w:bCs/>
                <w:kern w:val="0"/>
                <w:sz w:val="20"/>
                <w:szCs w:val="20"/>
                <w:lang w:val="fr-FR"/>
              </w:rPr>
              <w:t xml:space="preserve">    </w:t>
            </w:r>
            <w:r>
              <w:rPr>
                <w:rFonts w:ascii="Times New Roman" w:hAnsi="Times New Roman" w:eastAsia="宋体" w:cs="Times New Roman"/>
                <w:bCs/>
                <w:kern w:val="0"/>
                <w:sz w:val="20"/>
                <w:szCs w:val="20"/>
                <w:lang w:val="fr-FR"/>
              </w:rPr>
              <w:t>关键工艺参数</w:t>
            </w:r>
          </w:p>
        </w:tc>
      </w:tr>
      <w:tr w14:paraId="4AE0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14:paraId="256D67AB">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N/A</w:t>
            </w:r>
          </w:p>
        </w:tc>
        <w:tc>
          <w:tcPr>
            <w:tcW w:w="7205" w:type="dxa"/>
            <w:noWrap w:val="0"/>
            <w:vAlign w:val="center"/>
          </w:tcPr>
          <w:p w14:paraId="6119D537">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Not Applicable    不适用</w:t>
            </w:r>
          </w:p>
        </w:tc>
      </w:tr>
      <w:tr w14:paraId="01E2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14:paraId="700806A9">
            <w:pPr>
              <w:widowControl/>
              <w:jc w:val="center"/>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 ...</w:t>
            </w:r>
          </w:p>
        </w:tc>
        <w:tc>
          <w:tcPr>
            <w:tcW w:w="7205" w:type="dxa"/>
            <w:noWrap w:val="0"/>
            <w:vAlign w:val="center"/>
          </w:tcPr>
          <w:p w14:paraId="1F970D71">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 ...</w:t>
            </w:r>
          </w:p>
        </w:tc>
      </w:tr>
    </w:tbl>
    <w:p w14:paraId="24D3DE72">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5" w:name="_Toc16676"/>
      <w:r>
        <w:rPr>
          <w:rFonts w:hint="eastAsia" w:ascii="Times New Roman" w:hAnsi="Times New Roman" w:eastAsia="宋体" w:cs="Times New Roman"/>
          <w:b/>
          <w:caps/>
          <w:kern w:val="28"/>
          <w:sz w:val="30"/>
          <w:lang w:val="en-US" w:eastAsia="zh-CN" w:bidi="ar-SA"/>
        </w:rPr>
        <w:t>参考文件</w:t>
      </w:r>
      <w:bookmarkEnd w:id="135"/>
    </w:p>
    <w:p w14:paraId="2DE89BA5">
      <w:pPr>
        <w:widowControl/>
        <w:jc w:val="left"/>
        <w:rPr>
          <w:rFonts w:hint="default"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eastAsia="zh-CN"/>
        </w:rPr>
        <w:t>无</w:t>
      </w:r>
    </w:p>
    <w:p w14:paraId="27717EF9">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6" w:name="_Toc11722"/>
      <w:r>
        <w:rPr>
          <w:rFonts w:hint="eastAsia" w:ascii="Times New Roman" w:hAnsi="Times New Roman" w:eastAsia="宋体" w:cs="Times New Roman"/>
          <w:b/>
          <w:caps/>
          <w:kern w:val="28"/>
          <w:sz w:val="30"/>
          <w:lang w:val="fr-FR" w:eastAsia="zh-CN" w:bidi="ar-SA"/>
        </w:rPr>
        <w:t>需</w:t>
      </w:r>
      <w:r>
        <w:rPr>
          <w:rFonts w:hint="eastAsia" w:ascii="Times New Roman" w:hAnsi="Times New Roman" w:eastAsia="宋体" w:cs="Times New Roman"/>
          <w:b/>
          <w:caps/>
          <w:kern w:val="28"/>
          <w:sz w:val="30"/>
          <w:lang w:val="en-US" w:eastAsia="zh-CN" w:bidi="ar-SA"/>
        </w:rPr>
        <w:t>求</w:t>
      </w:r>
      <w:r>
        <w:rPr>
          <w:rFonts w:hint="eastAsia" w:ascii="Times New Roman" w:hAnsi="Times New Roman" w:eastAsia="宋体" w:cs="Times New Roman"/>
          <w:b/>
          <w:caps/>
          <w:kern w:val="28"/>
          <w:sz w:val="30"/>
          <w:lang w:val="fr-FR" w:eastAsia="zh-CN" w:bidi="ar-SA"/>
        </w:rPr>
        <w:t>设备/工艺的简单描述</w:t>
      </w:r>
      <w:bookmarkEnd w:id="134"/>
      <w:bookmarkEnd w:id="136"/>
    </w:p>
    <w:p w14:paraId="0BC87953">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US" w:eastAsia="zh-CN"/>
        </w:rPr>
        <w:t>用于生产部灭活苗综合车间菌苗纯化用亲和层析</w:t>
      </w:r>
      <w:r>
        <w:rPr>
          <w:rFonts w:hint="eastAsia" w:ascii="Times New Roman" w:hAnsi="Times New Roman" w:eastAsia="宋体" w:cs="Times New Roman"/>
          <w:kern w:val="0"/>
          <w:sz w:val="20"/>
          <w:szCs w:val="20"/>
          <w:lang w:val="fr-FR"/>
        </w:rPr>
        <w:t>。</w:t>
      </w:r>
    </w:p>
    <w:p w14:paraId="05E4275E">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7" w:name="_Toc5897"/>
      <w:bookmarkStart w:id="138" w:name="_Toc14542"/>
      <w:r>
        <w:rPr>
          <w:rFonts w:hint="eastAsia" w:ascii="Times New Roman" w:hAnsi="Times New Roman" w:eastAsia="宋体" w:cs="Times New Roman"/>
          <w:b/>
          <w:caps/>
          <w:kern w:val="28"/>
          <w:sz w:val="30"/>
          <w:lang w:val="en-US" w:eastAsia="zh-CN" w:bidi="ar-SA"/>
        </w:rPr>
        <w:t>技术规格</w:t>
      </w:r>
      <w:bookmarkEnd w:id="137"/>
      <w:bookmarkEnd w:id="138"/>
    </w:p>
    <w:p w14:paraId="2C1E2157">
      <w:pPr>
        <w:keepNext/>
        <w:numPr>
          <w:ilvl w:val="1"/>
          <w:numId w:val="11"/>
        </w:numPr>
        <w:spacing w:before="240" w:after="60"/>
        <w:outlineLvl w:val="1"/>
        <w:rPr>
          <w:rFonts w:hint="eastAsia" w:ascii="Times New Roman" w:hAnsi="Times New Roman" w:eastAsia="宋体" w:cs="Times New Roman"/>
          <w:b/>
          <w:sz w:val="28"/>
          <w:lang w:val="fr-FR" w:eastAsia="zh-CN" w:bidi="ar-SA"/>
        </w:rPr>
      </w:pPr>
      <w:bookmarkStart w:id="139" w:name="_Toc25580"/>
      <w:r>
        <w:rPr>
          <w:rFonts w:hint="eastAsia" w:ascii="Times New Roman" w:hAnsi="Times New Roman" w:eastAsia="宋体" w:cs="Times New Roman"/>
          <w:b/>
          <w:sz w:val="28"/>
          <w:lang w:val="en-US" w:eastAsia="zh-CN" w:bidi="ar-SA"/>
        </w:rPr>
        <w:t>产品要求</w:t>
      </w:r>
      <w:bookmarkEnd w:id="139"/>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1B0D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8" w:type="dxa"/>
            <w:noWrap w:val="0"/>
            <w:vAlign w:val="center"/>
          </w:tcPr>
          <w:p w14:paraId="0330E2A7">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37331720">
            <w:pPr>
              <w:widowControl/>
              <w:spacing w:line="360" w:lineRule="exact"/>
              <w:jc w:val="center"/>
              <w:outlineLvl w:val="9"/>
              <w:rPr>
                <w:rFonts w:hint="eastAsia" w:ascii="宋体" w:hAnsi="宋体" w:eastAsia="宋体" w:cs="宋体"/>
                <w:b/>
                <w:kern w:val="13"/>
                <w:sz w:val="21"/>
                <w:szCs w:val="21"/>
                <w:lang w:val="en-US" w:eastAsia="zh-CN" w:bidi="ar-SA"/>
              </w:rPr>
            </w:pPr>
            <w:bookmarkStart w:id="140" w:name="OLE_LINK115"/>
            <w:r>
              <w:rPr>
                <w:rFonts w:hint="eastAsia" w:ascii="宋体" w:hAnsi="宋体" w:eastAsia="宋体" w:cs="宋体"/>
                <w:b/>
                <w:bCs/>
                <w:kern w:val="0"/>
                <w:sz w:val="21"/>
                <w:szCs w:val="21"/>
                <w:lang w:val="fr-FR"/>
              </w:rPr>
              <w:t>要求</w:t>
            </w:r>
            <w:r>
              <w:rPr>
                <w:rFonts w:hint="eastAsia" w:ascii="宋体" w:hAnsi="宋体" w:eastAsia="宋体" w:cs="宋体"/>
                <w:b/>
                <w:bCs/>
                <w:kern w:val="0"/>
                <w:sz w:val="21"/>
                <w:szCs w:val="21"/>
                <w:lang w:val="en-US" w:eastAsia="zh-CN"/>
              </w:rPr>
              <w:t>内容</w:t>
            </w:r>
          </w:p>
          <w:bookmarkEnd w:id="140"/>
        </w:tc>
        <w:tc>
          <w:tcPr>
            <w:tcW w:w="1677" w:type="dxa"/>
            <w:noWrap w:val="0"/>
            <w:vAlign w:val="center"/>
          </w:tcPr>
          <w:p w14:paraId="3EA81129">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符合/必需</w:t>
            </w:r>
          </w:p>
        </w:tc>
      </w:tr>
      <w:tr w14:paraId="3BD5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203A733F">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URS01</w:t>
            </w:r>
          </w:p>
        </w:tc>
        <w:tc>
          <w:tcPr>
            <w:tcW w:w="6525" w:type="dxa"/>
            <w:noWrap w:val="0"/>
            <w:vAlign w:val="center"/>
          </w:tcPr>
          <w:p w14:paraId="18175305">
            <w:pPr>
              <w:widowControl/>
              <w:tabs>
                <w:tab w:val="left" w:pos="2465"/>
              </w:tabs>
              <w:spacing w:after="100" w:afterAutospacing="1"/>
              <w:jc w:val="left"/>
              <w:rPr>
                <w:rFonts w:hint="eastAsia" w:ascii="宋体" w:hAnsi="宋体" w:eastAsia="宋体" w:cs="Times New Roman"/>
                <w:kern w:val="13"/>
                <w:sz w:val="21"/>
                <w:szCs w:val="21"/>
                <w:highlight w:val="none"/>
                <w:lang w:val="en-US" w:eastAsia="zh-CN" w:bidi="ar-SA"/>
              </w:rPr>
            </w:pPr>
            <w:r>
              <w:rPr>
                <w:rFonts w:hint="eastAsia" w:ascii="宋体" w:hAnsi="宋体" w:eastAsia="宋体" w:cs="Times New Roman"/>
                <w:kern w:val="0"/>
                <w:sz w:val="21"/>
                <w:szCs w:val="21"/>
                <w:highlight w:val="none"/>
                <w:lang w:val="fr-FR"/>
              </w:rPr>
              <w:t>基质</w:t>
            </w:r>
            <w:r>
              <w:rPr>
                <w:rFonts w:hint="eastAsia" w:ascii="宋体" w:hAnsi="宋体" w:eastAsia="宋体" w:cs="Times New Roman"/>
                <w:kern w:val="0"/>
                <w:sz w:val="21"/>
                <w:szCs w:val="21"/>
                <w:highlight w:val="none"/>
                <w:lang w:val="fr-FR" w:eastAsia="zh-CN"/>
              </w:rPr>
              <w:t>：</w:t>
            </w:r>
            <w:r>
              <w:rPr>
                <w:rFonts w:hint="eastAsia" w:ascii="宋体" w:hAnsi="宋体" w:eastAsia="宋体" w:cs="Times New Roman"/>
                <w:kern w:val="0"/>
                <w:sz w:val="21"/>
                <w:szCs w:val="21"/>
                <w:highlight w:val="none"/>
                <w:lang w:val="fr-FR"/>
              </w:rPr>
              <w:t>高刚性琼脂糖</w:t>
            </w:r>
            <w:r>
              <w:rPr>
                <w:rFonts w:hint="eastAsia" w:ascii="宋体" w:hAnsi="宋体" w:eastAsia="宋体" w:cs="Times New Roman"/>
                <w:kern w:val="0"/>
                <w:sz w:val="21"/>
                <w:szCs w:val="21"/>
                <w:highlight w:val="none"/>
                <w:lang w:val="en-US" w:eastAsia="zh-CN"/>
              </w:rPr>
              <w:t>或</w:t>
            </w:r>
            <w:r>
              <w:rPr>
                <w:rFonts w:hint="eastAsia" w:ascii="宋体" w:hAnsi="宋体" w:eastAsia="宋体" w:cs="Times New Roman"/>
                <w:kern w:val="0"/>
                <w:sz w:val="21"/>
                <w:szCs w:val="21"/>
                <w:highlight w:val="none"/>
                <w:lang w:val="fr-FR"/>
              </w:rPr>
              <w:t>聚甲基丙烯酸酯</w:t>
            </w:r>
          </w:p>
        </w:tc>
        <w:tc>
          <w:tcPr>
            <w:tcW w:w="1677" w:type="dxa"/>
            <w:noWrap w:val="0"/>
            <w:vAlign w:val="center"/>
          </w:tcPr>
          <w:p w14:paraId="082CB212">
            <w:pPr>
              <w:widowControl/>
              <w:tabs>
                <w:tab w:val="left" w:pos="2465"/>
              </w:tabs>
              <w:spacing w:after="100" w:afterAutospacing="1"/>
              <w:jc w:val="center"/>
              <w:rPr>
                <w:rFonts w:hint="default" w:ascii="宋体" w:hAnsi="宋体" w:eastAsia="宋体" w:cs="Times New Roman"/>
                <w:kern w:val="13"/>
                <w:sz w:val="21"/>
                <w:szCs w:val="21"/>
                <w:highlight w:val="none"/>
                <w:lang w:val="en-US" w:eastAsia="zh-CN" w:bidi="ar-SA"/>
              </w:rPr>
            </w:pPr>
            <w:r>
              <w:rPr>
                <w:rFonts w:hint="eastAsia" w:ascii="宋体" w:hAnsi="宋体" w:eastAsia="宋体" w:cs="Times New Roman"/>
                <w:kern w:val="13"/>
                <w:sz w:val="21"/>
                <w:szCs w:val="21"/>
                <w:highlight w:val="none"/>
                <w:lang w:val="en-US" w:eastAsia="zh-CN" w:bidi="ar-SA"/>
              </w:rPr>
              <w:t>符合</w:t>
            </w:r>
          </w:p>
        </w:tc>
      </w:tr>
      <w:tr w14:paraId="0338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0D7FE0D4">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URS02</w:t>
            </w:r>
          </w:p>
        </w:tc>
        <w:tc>
          <w:tcPr>
            <w:tcW w:w="6525" w:type="dxa"/>
            <w:noWrap w:val="0"/>
            <w:vAlign w:val="center"/>
          </w:tcPr>
          <w:p w14:paraId="0B8BDCAD">
            <w:pPr>
              <w:widowControl/>
              <w:tabs>
                <w:tab w:val="left" w:pos="2465"/>
              </w:tabs>
              <w:spacing w:after="100" w:afterAutospacing="1"/>
              <w:jc w:val="left"/>
              <w:rPr>
                <w:rFonts w:hint="eastAsia" w:ascii="宋体" w:hAnsi="宋体" w:eastAsia="宋体" w:cs="Times New Roman"/>
                <w:kern w:val="0"/>
                <w:sz w:val="21"/>
                <w:szCs w:val="21"/>
                <w:lang w:val="fr-FR" w:eastAsia="zh-CN"/>
              </w:rPr>
            </w:pPr>
            <w:r>
              <w:rPr>
                <w:rFonts w:hint="eastAsia" w:ascii="宋体" w:hAnsi="宋体" w:eastAsia="宋体" w:cs="Times New Roman"/>
                <w:kern w:val="0"/>
                <w:sz w:val="21"/>
                <w:szCs w:val="21"/>
                <w:lang w:val="fr-FR"/>
              </w:rPr>
              <w:t>粒径范围</w:t>
            </w:r>
            <w:r>
              <w:rPr>
                <w:rFonts w:hint="eastAsia" w:ascii="宋体" w:hAnsi="宋体" w:eastAsia="宋体" w:cs="Times New Roman"/>
                <w:kern w:val="0"/>
                <w:sz w:val="21"/>
                <w:szCs w:val="21"/>
                <w:lang w:val="fr-FR" w:eastAsia="zh-CN"/>
              </w:rPr>
              <w:t>：</w:t>
            </w:r>
            <w:r>
              <w:rPr>
                <w:rFonts w:ascii="宋体" w:hAnsi="宋体" w:eastAsia="宋体" w:cs="Times New Roman"/>
                <w:color w:val="000000"/>
                <w:kern w:val="0"/>
                <w:sz w:val="21"/>
                <w:szCs w:val="21"/>
                <w:lang w:val="fr-FR"/>
              </w:rPr>
              <w:t>45</w:t>
            </w:r>
            <w:r>
              <w:rPr>
                <w:rFonts w:hint="eastAsia" w:ascii="宋体" w:hAnsi="宋体" w:eastAsia="宋体" w:cs="Times New Roman"/>
                <w:color w:val="000000"/>
                <w:kern w:val="0"/>
                <w:sz w:val="21"/>
                <w:szCs w:val="21"/>
                <w:lang w:val="fr-FR"/>
              </w:rPr>
              <w:t>-</w:t>
            </w:r>
            <w:r>
              <w:rPr>
                <w:rFonts w:ascii="宋体" w:hAnsi="宋体" w:eastAsia="宋体" w:cs="Times New Roman"/>
                <w:color w:val="000000"/>
                <w:kern w:val="0"/>
                <w:sz w:val="21"/>
                <w:szCs w:val="21"/>
                <w:lang w:val="fr-FR"/>
              </w:rPr>
              <w:t>165µm</w:t>
            </w:r>
          </w:p>
        </w:tc>
        <w:tc>
          <w:tcPr>
            <w:tcW w:w="1677" w:type="dxa"/>
            <w:noWrap w:val="0"/>
            <w:vAlign w:val="center"/>
          </w:tcPr>
          <w:p w14:paraId="6FF75D5D">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lang w:val="en-US" w:eastAsia="zh-CN" w:bidi="ar-SA"/>
              </w:rPr>
              <w:t>符合</w:t>
            </w:r>
          </w:p>
        </w:tc>
      </w:tr>
      <w:tr w14:paraId="6FAC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238" w:type="dxa"/>
            <w:noWrap w:val="0"/>
            <w:vAlign w:val="center"/>
          </w:tcPr>
          <w:p w14:paraId="359150FD">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URS03</w:t>
            </w:r>
          </w:p>
        </w:tc>
        <w:tc>
          <w:tcPr>
            <w:tcW w:w="6525" w:type="dxa"/>
            <w:noWrap w:val="0"/>
            <w:vAlign w:val="center"/>
          </w:tcPr>
          <w:p w14:paraId="19411635">
            <w:pPr>
              <w:widowControl/>
              <w:tabs>
                <w:tab w:val="left" w:pos="2465"/>
              </w:tabs>
              <w:spacing w:after="100" w:afterAutospacing="1"/>
              <w:jc w:val="left"/>
              <w:rPr>
                <w:rFonts w:hint="eastAsia" w:ascii="宋体" w:hAnsi="宋体" w:eastAsia="宋体" w:cs="Times New Roman"/>
                <w:color w:val="000000"/>
                <w:kern w:val="0"/>
                <w:sz w:val="21"/>
                <w:szCs w:val="21"/>
                <w:lang w:val="fr-FR" w:eastAsia="zh-CN"/>
              </w:rPr>
            </w:pPr>
            <w:r>
              <w:rPr>
                <w:rFonts w:hint="eastAsia" w:ascii="宋体" w:hAnsi="宋体" w:eastAsia="宋体" w:cs="Times New Roman"/>
                <w:color w:val="000000"/>
                <w:kern w:val="0"/>
                <w:sz w:val="21"/>
                <w:szCs w:val="21"/>
                <w:lang w:val="fr-FR"/>
              </w:rPr>
              <w:t>平均粒径</w:t>
            </w:r>
            <w:r>
              <w:rPr>
                <w:rFonts w:hint="eastAsia" w:ascii="宋体" w:hAnsi="宋体" w:eastAsia="宋体" w:cs="Times New Roman"/>
                <w:color w:val="000000"/>
                <w:kern w:val="0"/>
                <w:sz w:val="21"/>
                <w:szCs w:val="21"/>
                <w:lang w:val="fr-FR" w:eastAsia="zh-CN"/>
              </w:rPr>
              <w:t>：</w:t>
            </w:r>
            <w:r>
              <w:rPr>
                <w:rFonts w:hint="eastAsia" w:ascii="宋体" w:hAnsi="宋体" w:eastAsia="宋体" w:cs="Times New Roman"/>
                <w:color w:val="000000"/>
                <w:kern w:val="0"/>
                <w:sz w:val="21"/>
                <w:szCs w:val="21"/>
                <w:lang w:val="en-US" w:eastAsia="zh-CN"/>
              </w:rPr>
              <w:t>90</w:t>
            </w:r>
            <w:r>
              <w:rPr>
                <w:rFonts w:hint="eastAsia" w:ascii="宋体" w:hAnsi="宋体" w:eastAsia="宋体" w:cs="宋体"/>
                <w:color w:val="000000"/>
                <w:kern w:val="0"/>
                <w:sz w:val="21"/>
                <w:szCs w:val="21"/>
                <w:lang w:val="fr-FR"/>
              </w:rPr>
              <w:t>±</w:t>
            </w:r>
            <w:r>
              <w:rPr>
                <w:rFonts w:hint="eastAsia" w:ascii="宋体" w:hAnsi="宋体" w:eastAsia="宋体" w:cs="Times New Roman"/>
                <w:color w:val="000000"/>
                <w:kern w:val="0"/>
                <w:sz w:val="21"/>
                <w:szCs w:val="21"/>
                <w:lang w:val="en-US" w:eastAsia="zh-CN"/>
              </w:rPr>
              <w:t>5</w:t>
            </w:r>
            <w:r>
              <w:rPr>
                <w:rFonts w:ascii="宋体" w:hAnsi="宋体" w:eastAsia="宋体" w:cs="Times New Roman"/>
                <w:color w:val="000000"/>
                <w:kern w:val="0"/>
                <w:sz w:val="21"/>
                <w:szCs w:val="21"/>
                <w:lang w:val="fr-FR"/>
              </w:rPr>
              <w:t>µm</w:t>
            </w:r>
          </w:p>
        </w:tc>
        <w:tc>
          <w:tcPr>
            <w:tcW w:w="1677" w:type="dxa"/>
            <w:noWrap w:val="0"/>
            <w:vAlign w:val="center"/>
          </w:tcPr>
          <w:p w14:paraId="562DE5CB">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关键</w:t>
            </w:r>
          </w:p>
        </w:tc>
      </w:tr>
      <w:tr w14:paraId="38BD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238" w:type="dxa"/>
            <w:noWrap w:val="0"/>
            <w:vAlign w:val="center"/>
          </w:tcPr>
          <w:p w14:paraId="6C3598A1">
            <w:pPr>
              <w:widowControl/>
              <w:tabs>
                <w:tab w:val="left" w:pos="2465"/>
              </w:tabs>
              <w:spacing w:after="100" w:afterAutospacing="1"/>
              <w:jc w:val="center"/>
              <w:rPr>
                <w:rFonts w:hint="default" w:ascii="宋体" w:hAnsi="宋体" w:eastAsia="宋体" w:cs="Times New Roman"/>
                <w:color w:val="000000"/>
                <w:kern w:val="0"/>
                <w:sz w:val="21"/>
                <w:szCs w:val="21"/>
                <w:lang w:val="en-US"/>
              </w:rPr>
            </w:pPr>
            <w:r>
              <w:rPr>
                <w:rFonts w:hint="eastAsia" w:ascii="宋体" w:hAnsi="宋体" w:eastAsia="宋体" w:cs="Times New Roman"/>
                <w:kern w:val="0"/>
                <w:sz w:val="21"/>
                <w:szCs w:val="21"/>
                <w:lang w:val="en-US" w:eastAsia="zh-CN"/>
              </w:rPr>
              <w:t>URS04</w:t>
            </w:r>
          </w:p>
        </w:tc>
        <w:tc>
          <w:tcPr>
            <w:tcW w:w="6525" w:type="dxa"/>
            <w:noWrap w:val="0"/>
            <w:vAlign w:val="center"/>
          </w:tcPr>
          <w:p w14:paraId="06E10B9B">
            <w:pPr>
              <w:widowControl/>
              <w:tabs>
                <w:tab w:val="left" w:pos="2465"/>
              </w:tabs>
              <w:spacing w:after="100" w:afterAutospacing="1"/>
              <w:jc w:val="left"/>
              <w:rPr>
                <w:rFonts w:hint="default" w:ascii="宋体" w:hAnsi="宋体" w:eastAsia="宋体" w:cs="Times New Roman"/>
                <w:color w:val="000000"/>
                <w:kern w:val="0"/>
                <w:sz w:val="21"/>
                <w:szCs w:val="21"/>
                <w:lang w:val="en-US" w:eastAsia="zh-CN"/>
              </w:rPr>
            </w:pPr>
            <w:bookmarkStart w:id="141" w:name="OLE_LINK79"/>
            <w:r>
              <w:rPr>
                <w:rFonts w:hint="eastAsia" w:ascii="宋体" w:hAnsi="宋体" w:eastAsia="宋体" w:cs="Times New Roman"/>
                <w:color w:val="000000"/>
                <w:kern w:val="0"/>
                <w:sz w:val="21"/>
                <w:szCs w:val="21"/>
                <w:lang w:val="fr-FR"/>
              </w:rPr>
              <w:t>介质类型</w:t>
            </w:r>
            <w:r>
              <w:rPr>
                <w:rFonts w:hint="eastAsia" w:ascii="宋体" w:hAnsi="宋体" w:eastAsia="宋体" w:cs="Times New Roman"/>
                <w:color w:val="000000"/>
                <w:kern w:val="0"/>
                <w:sz w:val="21"/>
                <w:szCs w:val="21"/>
                <w:lang w:val="fr-FR" w:eastAsia="zh-CN"/>
              </w:rPr>
              <w:t>：</w:t>
            </w:r>
            <w:r>
              <w:rPr>
                <w:rFonts w:hint="eastAsia" w:ascii="宋体" w:hAnsi="宋体" w:eastAsia="宋体" w:cs="Times New Roman"/>
                <w:color w:val="000000"/>
                <w:kern w:val="0"/>
                <w:sz w:val="21"/>
                <w:szCs w:val="21"/>
                <w:lang w:val="en-US" w:eastAsia="zh-CN"/>
              </w:rPr>
              <w:t>NTA，</w:t>
            </w:r>
            <w:r>
              <w:rPr>
                <w:rFonts w:hint="eastAsia" w:ascii="宋体" w:hAnsi="宋体" w:eastAsia="宋体" w:cs="Times New Roman"/>
                <w:color w:val="000000"/>
                <w:kern w:val="0"/>
                <w:sz w:val="21"/>
                <w:szCs w:val="21"/>
                <w:lang w:val="fr-FR"/>
              </w:rPr>
              <w:t>动态载量</w:t>
            </w:r>
            <w:r>
              <w:rPr>
                <w:rFonts w:hint="eastAsia" w:ascii="宋体" w:hAnsi="宋体" w:eastAsia="宋体" w:cs="Times New Roman"/>
                <w:color w:val="000000"/>
                <w:kern w:val="0"/>
                <w:sz w:val="21"/>
                <w:szCs w:val="21"/>
                <w:lang w:val="fr-FR" w:eastAsia="zh-CN"/>
              </w:rPr>
              <w:t>：</w:t>
            </w:r>
            <w:r>
              <w:rPr>
                <w:rFonts w:hint="eastAsia" w:ascii="宋体" w:hAnsi="宋体" w:eastAsia="宋体" w:cs="Times New Roman"/>
                <w:color w:val="000000"/>
                <w:kern w:val="0"/>
                <w:sz w:val="21"/>
                <w:szCs w:val="21"/>
                <w:lang w:val="en-US" w:eastAsia="zh-CN"/>
              </w:rPr>
              <w:t>≥</w:t>
            </w:r>
            <w:r>
              <w:rPr>
                <w:rFonts w:hint="eastAsia" w:ascii="宋体" w:hAnsi="宋体" w:eastAsia="宋体" w:cs="Times New Roman"/>
                <w:color w:val="000000"/>
                <w:kern w:val="0"/>
                <w:sz w:val="21"/>
                <w:szCs w:val="21"/>
                <w:lang w:val="fr-FR"/>
              </w:rPr>
              <w:t>25mg/ml，</w:t>
            </w:r>
            <w:r>
              <w:rPr>
                <w:rFonts w:hint="eastAsia" w:ascii="宋体" w:hAnsi="宋体" w:eastAsia="宋体" w:cs="Times New Roman"/>
                <w:color w:val="000000"/>
                <w:kern w:val="0"/>
                <w:sz w:val="21"/>
                <w:szCs w:val="21"/>
                <w:lang w:val="en-US" w:eastAsia="zh-CN"/>
              </w:rPr>
              <w:t>金属泄漏率：</w:t>
            </w:r>
            <w:r>
              <w:rPr>
                <w:rFonts w:ascii="宋体" w:hAnsi="宋体" w:eastAsia="宋体" w:cs="Times New Roman"/>
                <w:color w:val="000000"/>
                <w:kern w:val="0"/>
                <w:sz w:val="21"/>
                <w:szCs w:val="21"/>
                <w:lang w:val="fr-FR"/>
              </w:rPr>
              <w:t>≤</w:t>
            </w:r>
            <w:r>
              <w:rPr>
                <w:rFonts w:hint="eastAsia" w:ascii="宋体" w:hAnsi="宋体" w:eastAsia="宋体" w:cs="Times New Roman"/>
                <w:color w:val="000000"/>
                <w:kern w:val="0"/>
                <w:sz w:val="21"/>
                <w:szCs w:val="21"/>
                <w:lang w:val="en-US" w:eastAsia="zh-CN"/>
              </w:rPr>
              <w:t>1ppm</w:t>
            </w:r>
          </w:p>
          <w:bookmarkEnd w:id="141"/>
        </w:tc>
        <w:tc>
          <w:tcPr>
            <w:tcW w:w="1677" w:type="dxa"/>
            <w:noWrap w:val="0"/>
            <w:vAlign w:val="center"/>
          </w:tcPr>
          <w:p w14:paraId="119A63AA">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highlight w:val="none"/>
                <w:lang w:val="en-US" w:eastAsia="zh-CN" w:bidi="ar-SA"/>
              </w:rPr>
              <w:t>符合</w:t>
            </w:r>
          </w:p>
        </w:tc>
      </w:tr>
      <w:tr w14:paraId="63BE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0C8EFE9B">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0"/>
                <w:sz w:val="21"/>
                <w:szCs w:val="21"/>
                <w:lang w:val="en-US" w:eastAsia="zh-CN"/>
              </w:rPr>
              <w:t>URS05</w:t>
            </w:r>
          </w:p>
        </w:tc>
        <w:tc>
          <w:tcPr>
            <w:tcW w:w="6525" w:type="dxa"/>
            <w:noWrap w:val="0"/>
            <w:vAlign w:val="center"/>
          </w:tcPr>
          <w:p w14:paraId="6CDE8433">
            <w:pPr>
              <w:widowControl/>
              <w:tabs>
                <w:tab w:val="left" w:pos="2465"/>
              </w:tabs>
              <w:spacing w:after="100" w:afterAutospacing="1"/>
              <w:jc w:val="left"/>
              <w:rPr>
                <w:rFonts w:hint="eastAsia" w:ascii="Times New Roman" w:hAnsi="Times New Roman" w:eastAsia="宋体" w:cs="Times New Roman"/>
                <w:kern w:val="0"/>
                <w:sz w:val="20"/>
                <w:szCs w:val="20"/>
                <w:lang w:val="en-US" w:eastAsia="zh-CN"/>
              </w:rPr>
            </w:pPr>
            <w:bookmarkStart w:id="142" w:name="OLE_LINK80"/>
            <w:r>
              <w:rPr>
                <w:rFonts w:hint="eastAsia" w:ascii="宋体" w:hAnsi="宋体" w:eastAsia="宋体" w:cs="Times New Roman"/>
                <w:color w:val="000000"/>
                <w:kern w:val="0"/>
                <w:sz w:val="21"/>
                <w:szCs w:val="21"/>
                <w:lang w:val="fr-FR"/>
              </w:rPr>
              <w:t>离子载量</w:t>
            </w:r>
            <w:r>
              <w:rPr>
                <w:rFonts w:hint="eastAsia" w:ascii="宋体" w:hAnsi="宋体" w:eastAsia="宋体" w:cs="Times New Roman"/>
                <w:color w:val="000000"/>
                <w:kern w:val="0"/>
                <w:sz w:val="21"/>
                <w:szCs w:val="21"/>
                <w:lang w:val="fr-FR" w:eastAsia="zh-CN"/>
              </w:rPr>
              <w:t>：</w:t>
            </w:r>
            <w:r>
              <w:rPr>
                <w:rFonts w:ascii="宋体" w:hAnsi="宋体" w:eastAsia="宋体" w:cs="Times New Roman"/>
                <w:color w:val="000000"/>
                <w:kern w:val="0"/>
                <w:sz w:val="21"/>
                <w:szCs w:val="21"/>
                <w:lang w:val="fr-FR"/>
              </w:rPr>
              <w:t>0.</w:t>
            </w:r>
            <w:r>
              <w:rPr>
                <w:rFonts w:hint="eastAsia" w:ascii="宋体" w:hAnsi="宋体" w:eastAsia="宋体" w:cs="Times New Roman"/>
                <w:color w:val="000000"/>
                <w:kern w:val="0"/>
                <w:sz w:val="21"/>
                <w:szCs w:val="21"/>
                <w:lang w:val="fr-FR"/>
              </w:rPr>
              <w:t>1</w:t>
            </w:r>
            <w:r>
              <w:rPr>
                <w:rFonts w:hint="eastAsia" w:ascii="宋体" w:hAnsi="宋体" w:eastAsia="宋体" w:cs="Times New Roman"/>
                <w:color w:val="000000"/>
                <w:kern w:val="0"/>
                <w:sz w:val="21"/>
                <w:szCs w:val="21"/>
                <w:lang w:val="en-US" w:eastAsia="zh-CN"/>
              </w:rPr>
              <w:t>4</w:t>
            </w:r>
            <w:r>
              <w:rPr>
                <w:rFonts w:hint="eastAsia" w:ascii="宋体" w:hAnsi="宋体" w:eastAsia="宋体" w:cs="Times New Roman"/>
                <w:color w:val="000000"/>
                <w:kern w:val="0"/>
                <w:sz w:val="21"/>
                <w:szCs w:val="21"/>
                <w:lang w:val="fr-FR"/>
              </w:rPr>
              <w:t>-</w:t>
            </w:r>
            <w:r>
              <w:rPr>
                <w:rFonts w:ascii="宋体" w:hAnsi="宋体" w:eastAsia="宋体" w:cs="Times New Roman"/>
                <w:color w:val="000000"/>
                <w:kern w:val="0"/>
                <w:sz w:val="21"/>
                <w:szCs w:val="21"/>
                <w:lang w:val="fr-FR"/>
              </w:rPr>
              <w:t>0.1</w:t>
            </w:r>
            <w:r>
              <w:rPr>
                <w:rFonts w:hint="eastAsia" w:ascii="宋体" w:hAnsi="宋体" w:eastAsia="宋体" w:cs="Times New Roman"/>
                <w:color w:val="000000"/>
                <w:kern w:val="0"/>
                <w:sz w:val="21"/>
                <w:szCs w:val="21"/>
                <w:lang w:val="en-US" w:eastAsia="zh-CN"/>
              </w:rPr>
              <w:t>8</w:t>
            </w:r>
            <w:r>
              <w:rPr>
                <w:rFonts w:ascii="宋体" w:hAnsi="宋体" w:eastAsia="宋体" w:cs="Times New Roman"/>
                <w:color w:val="000000"/>
                <w:kern w:val="0"/>
                <w:sz w:val="21"/>
                <w:szCs w:val="21"/>
                <w:lang w:val="fr-FR"/>
              </w:rPr>
              <w:t>m</w:t>
            </w:r>
            <w:r>
              <w:rPr>
                <w:rFonts w:hint="eastAsia" w:ascii="宋体" w:hAnsi="宋体" w:eastAsia="宋体" w:cs="Times New Roman"/>
                <w:color w:val="000000"/>
                <w:kern w:val="0"/>
                <w:sz w:val="21"/>
                <w:szCs w:val="21"/>
                <w:lang w:val="fr-FR"/>
              </w:rPr>
              <w:t>mol</w:t>
            </w:r>
            <w:bookmarkStart w:id="143" w:name="OLE_LINK124"/>
            <w:r>
              <w:rPr>
                <w:rFonts w:hint="eastAsia" w:ascii="宋体" w:hAnsi="宋体" w:eastAsia="宋体" w:cs="Times New Roman"/>
                <w:color w:val="000000"/>
                <w:kern w:val="0"/>
                <w:sz w:val="21"/>
                <w:szCs w:val="21"/>
                <w:lang w:val="en-US" w:eastAsia="zh-CN"/>
              </w:rPr>
              <w:t>/</w:t>
            </w:r>
            <w:r>
              <w:rPr>
                <w:rFonts w:hint="eastAsia" w:ascii="宋体" w:hAnsi="宋体" w:eastAsia="宋体" w:cs="Times New Roman"/>
                <w:color w:val="000000"/>
                <w:kern w:val="0"/>
                <w:sz w:val="21"/>
                <w:szCs w:val="21"/>
                <w:lang w:val="fr-FR"/>
              </w:rPr>
              <w:t>m</w:t>
            </w:r>
            <w:bookmarkEnd w:id="143"/>
            <w:r>
              <w:rPr>
                <w:rFonts w:hint="eastAsia" w:ascii="宋体" w:hAnsi="宋体" w:eastAsia="宋体" w:cs="Times New Roman"/>
                <w:color w:val="000000"/>
                <w:kern w:val="0"/>
                <w:sz w:val="21"/>
                <w:szCs w:val="21"/>
                <w:lang w:val="en-US" w:eastAsia="zh-CN"/>
              </w:rPr>
              <w:t>L</w:t>
            </w:r>
          </w:p>
          <w:bookmarkEnd w:id="142"/>
        </w:tc>
        <w:tc>
          <w:tcPr>
            <w:tcW w:w="1677" w:type="dxa"/>
            <w:noWrap w:val="0"/>
            <w:vAlign w:val="center"/>
          </w:tcPr>
          <w:p w14:paraId="693FB45E">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lang w:val="en-US" w:eastAsia="zh-CN" w:bidi="ar-SA"/>
              </w:rPr>
              <w:t>符合</w:t>
            </w:r>
          </w:p>
        </w:tc>
      </w:tr>
      <w:tr w14:paraId="2869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0E0D8DC7">
            <w:pPr>
              <w:widowControl/>
              <w:tabs>
                <w:tab w:val="left" w:pos="2465"/>
              </w:tabs>
              <w:spacing w:after="100" w:afterAutospacing="1"/>
              <w:jc w:val="center"/>
              <w:rPr>
                <w:rFonts w:hint="default" w:ascii="宋体" w:hAnsi="宋体" w:eastAsia="宋体" w:cs="Times New Roman"/>
                <w:color w:val="000000"/>
                <w:kern w:val="13"/>
                <w:sz w:val="21"/>
                <w:szCs w:val="21"/>
                <w:lang w:val="en-US" w:eastAsia="zh-CN" w:bidi="ar-SA"/>
              </w:rPr>
            </w:pPr>
            <w:r>
              <w:rPr>
                <w:rFonts w:hint="eastAsia" w:ascii="宋体" w:hAnsi="宋体" w:eastAsia="宋体" w:cs="Times New Roman"/>
                <w:kern w:val="0"/>
                <w:sz w:val="21"/>
                <w:szCs w:val="21"/>
                <w:lang w:val="en-US" w:eastAsia="zh-CN"/>
              </w:rPr>
              <w:t>URS06</w:t>
            </w:r>
          </w:p>
        </w:tc>
        <w:tc>
          <w:tcPr>
            <w:tcW w:w="6525" w:type="dxa"/>
            <w:noWrap w:val="0"/>
            <w:vAlign w:val="center"/>
          </w:tcPr>
          <w:p w14:paraId="4D84800E">
            <w:pPr>
              <w:widowControl/>
              <w:tabs>
                <w:tab w:val="left" w:pos="2465"/>
              </w:tabs>
              <w:spacing w:after="100" w:afterAutospacing="1"/>
              <w:jc w:val="left"/>
              <w:rPr>
                <w:rFonts w:hint="eastAsia" w:ascii="宋体" w:hAnsi="宋体" w:eastAsia="宋体" w:cs="Times New Roman"/>
                <w:color w:val="000000"/>
                <w:kern w:val="0"/>
                <w:sz w:val="21"/>
                <w:szCs w:val="21"/>
                <w:lang w:val="fr-FR" w:eastAsia="zh-CN"/>
              </w:rPr>
            </w:pPr>
            <w:r>
              <w:rPr>
                <w:rFonts w:hint="eastAsia" w:ascii="宋体" w:hAnsi="宋体" w:eastAsia="宋体" w:cs="Times New Roman"/>
                <w:color w:val="000000"/>
                <w:kern w:val="0"/>
                <w:sz w:val="21"/>
                <w:szCs w:val="21"/>
                <w:lang w:val="fr-FR"/>
              </w:rPr>
              <w:t>操作压力</w:t>
            </w:r>
            <w:r>
              <w:rPr>
                <w:rFonts w:hint="eastAsia" w:ascii="宋体" w:hAnsi="宋体" w:eastAsia="宋体" w:cs="Times New Roman"/>
                <w:color w:val="000000"/>
                <w:kern w:val="0"/>
                <w:sz w:val="21"/>
                <w:szCs w:val="21"/>
                <w:lang w:val="fr-FR" w:eastAsia="zh-CN"/>
              </w:rPr>
              <w:t>：</w:t>
            </w:r>
            <w:r>
              <w:rPr>
                <w:rFonts w:ascii="宋体" w:hAnsi="宋体" w:eastAsia="宋体" w:cs="Times New Roman"/>
                <w:color w:val="000000"/>
                <w:kern w:val="0"/>
                <w:sz w:val="21"/>
                <w:szCs w:val="21"/>
                <w:lang w:val="fr-FR"/>
              </w:rPr>
              <w:t>≤</w:t>
            </w:r>
            <w:r>
              <w:rPr>
                <w:rFonts w:hint="eastAsia" w:ascii="宋体" w:hAnsi="宋体" w:eastAsia="宋体" w:cs="Times New Roman"/>
                <w:color w:val="000000"/>
                <w:kern w:val="0"/>
                <w:sz w:val="21"/>
                <w:szCs w:val="21"/>
                <w:lang w:val="fr-FR"/>
              </w:rPr>
              <w:t>0.</w:t>
            </w:r>
            <w:r>
              <w:rPr>
                <w:rFonts w:hint="eastAsia" w:ascii="宋体" w:hAnsi="宋体" w:eastAsia="宋体" w:cs="Times New Roman"/>
                <w:color w:val="000000"/>
                <w:kern w:val="0"/>
                <w:sz w:val="21"/>
                <w:szCs w:val="21"/>
                <w:lang w:val="en-US" w:eastAsia="zh-CN"/>
              </w:rPr>
              <w:t>3</w:t>
            </w:r>
            <w:r>
              <w:rPr>
                <w:rFonts w:hint="eastAsia" w:ascii="宋体" w:hAnsi="宋体" w:eastAsia="宋体" w:cs="Times New Roman"/>
                <w:color w:val="000000"/>
                <w:kern w:val="0"/>
                <w:sz w:val="21"/>
                <w:szCs w:val="21"/>
                <w:lang w:val="fr-FR"/>
              </w:rPr>
              <w:t>MPa</w:t>
            </w:r>
          </w:p>
        </w:tc>
        <w:tc>
          <w:tcPr>
            <w:tcW w:w="1677" w:type="dxa"/>
            <w:noWrap w:val="0"/>
            <w:vAlign w:val="center"/>
          </w:tcPr>
          <w:p w14:paraId="18F51B55">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highlight w:val="none"/>
                <w:lang w:val="en-US" w:eastAsia="zh-CN" w:bidi="ar-SA"/>
              </w:rPr>
              <w:t>符合</w:t>
            </w:r>
          </w:p>
        </w:tc>
      </w:tr>
      <w:tr w14:paraId="7E55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5ED3F19F">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0"/>
                <w:sz w:val="21"/>
                <w:szCs w:val="21"/>
                <w:lang w:val="en-US" w:eastAsia="zh-CN"/>
              </w:rPr>
              <w:t>URS07</w:t>
            </w:r>
          </w:p>
        </w:tc>
        <w:tc>
          <w:tcPr>
            <w:tcW w:w="6525" w:type="dxa"/>
            <w:noWrap w:val="0"/>
            <w:vAlign w:val="center"/>
          </w:tcPr>
          <w:p w14:paraId="6DB39077">
            <w:pPr>
              <w:widowControl/>
              <w:tabs>
                <w:tab w:val="left" w:pos="2465"/>
              </w:tabs>
              <w:spacing w:after="100" w:afterAutospacing="1"/>
              <w:jc w:val="left"/>
              <w:rPr>
                <w:rFonts w:hint="eastAsia" w:ascii="宋体" w:hAnsi="宋体" w:eastAsia="宋体" w:cs="Times New Roman"/>
                <w:color w:val="000000"/>
                <w:kern w:val="0"/>
                <w:sz w:val="21"/>
                <w:szCs w:val="21"/>
                <w:lang w:val="fr-FR" w:eastAsia="zh-CN"/>
              </w:rPr>
            </w:pPr>
            <w:r>
              <w:rPr>
                <w:rFonts w:hint="eastAsia" w:ascii="宋体" w:hAnsi="宋体" w:eastAsia="宋体" w:cs="Times New Roman"/>
                <w:color w:val="000000"/>
                <w:kern w:val="0"/>
                <w:sz w:val="21"/>
                <w:szCs w:val="21"/>
                <w:lang w:val="fr-FR"/>
              </w:rPr>
              <w:t>流速</w:t>
            </w:r>
            <w:r>
              <w:rPr>
                <w:rFonts w:hint="eastAsia" w:ascii="宋体" w:hAnsi="宋体" w:eastAsia="宋体" w:cs="Times New Roman"/>
                <w:color w:val="000000"/>
                <w:kern w:val="0"/>
                <w:sz w:val="21"/>
                <w:szCs w:val="21"/>
                <w:lang w:val="fr-FR" w:eastAsia="zh-CN"/>
              </w:rPr>
              <w:t>：</w:t>
            </w:r>
            <w:r>
              <w:rPr>
                <w:rFonts w:hint="eastAsia" w:ascii="宋体" w:hAnsi="宋体" w:eastAsia="宋体" w:cs="宋体"/>
                <w:bCs/>
                <w:color w:val="000000"/>
                <w:kern w:val="0"/>
                <w:sz w:val="21"/>
                <w:szCs w:val="21"/>
                <w:lang w:val="fr-FR"/>
              </w:rPr>
              <w:t>≤600cm/h</w:t>
            </w:r>
          </w:p>
        </w:tc>
        <w:tc>
          <w:tcPr>
            <w:tcW w:w="1677" w:type="dxa"/>
            <w:noWrap w:val="0"/>
            <w:vAlign w:val="center"/>
          </w:tcPr>
          <w:p w14:paraId="4B144FB5">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lang w:val="en-US" w:eastAsia="zh-CN" w:bidi="ar-SA"/>
              </w:rPr>
              <w:t>符合</w:t>
            </w:r>
          </w:p>
        </w:tc>
      </w:tr>
      <w:tr w14:paraId="5D23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238" w:type="dxa"/>
            <w:noWrap w:val="0"/>
            <w:vAlign w:val="center"/>
          </w:tcPr>
          <w:p w14:paraId="64ED5C03">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0"/>
                <w:sz w:val="21"/>
                <w:szCs w:val="21"/>
                <w:lang w:val="en-US" w:eastAsia="zh-CN"/>
              </w:rPr>
              <w:t>URS08</w:t>
            </w:r>
          </w:p>
        </w:tc>
        <w:tc>
          <w:tcPr>
            <w:tcW w:w="6525" w:type="dxa"/>
            <w:noWrap w:val="0"/>
            <w:vAlign w:val="center"/>
          </w:tcPr>
          <w:p w14:paraId="1C1DFCC4">
            <w:pPr>
              <w:widowControl/>
              <w:spacing w:after="100" w:afterAutospacing="1"/>
              <w:jc w:val="left"/>
              <w:rPr>
                <w:rFonts w:hint="eastAsia" w:ascii="宋体" w:hAnsi="宋体" w:eastAsia="宋体" w:cs="Times New Roman"/>
                <w:color w:val="000000"/>
                <w:kern w:val="0"/>
                <w:sz w:val="21"/>
                <w:szCs w:val="21"/>
                <w:lang w:val="fr-FR" w:eastAsia="zh-CN"/>
              </w:rPr>
            </w:pPr>
            <w:r>
              <w:rPr>
                <w:rFonts w:hint="eastAsia" w:ascii="宋体" w:hAnsi="宋体" w:eastAsia="宋体" w:cs="Times New Roman"/>
                <w:color w:val="000000"/>
                <w:kern w:val="0"/>
                <w:sz w:val="21"/>
                <w:szCs w:val="21"/>
                <w:lang w:val="fr-FR"/>
              </w:rPr>
              <w:t>pH</w:t>
            </w:r>
            <w:r>
              <w:rPr>
                <w:rFonts w:hint="eastAsia" w:ascii="宋体" w:hAnsi="宋体" w:eastAsia="宋体" w:cs="宋体"/>
                <w:color w:val="000000"/>
                <w:kern w:val="0"/>
                <w:sz w:val="21"/>
                <w:szCs w:val="21"/>
                <w:lang w:val="fr-FR"/>
              </w:rPr>
              <w:t>稳定性</w:t>
            </w:r>
            <w:r>
              <w:rPr>
                <w:rFonts w:hint="eastAsia" w:ascii="宋体" w:hAnsi="宋体" w:eastAsia="宋体" w:cs="宋体"/>
                <w:color w:val="000000"/>
                <w:kern w:val="0"/>
                <w:sz w:val="21"/>
                <w:szCs w:val="21"/>
                <w:lang w:val="fr-FR" w:eastAsia="zh-CN"/>
              </w:rPr>
              <w:t>：</w:t>
            </w:r>
            <w:r>
              <w:rPr>
                <w:rFonts w:hint="eastAsia" w:ascii="宋体" w:hAnsi="宋体" w:eastAsia="宋体" w:cs="Times New Roman"/>
                <w:color w:val="000000"/>
                <w:kern w:val="0"/>
                <w:sz w:val="21"/>
                <w:szCs w:val="21"/>
                <w:lang w:val="fr-FR"/>
              </w:rPr>
              <w:t>4-1</w:t>
            </w:r>
            <w:bookmarkStart w:id="144" w:name="OLE_LINK111"/>
            <w:r>
              <w:rPr>
                <w:rFonts w:ascii="宋体" w:hAnsi="宋体" w:eastAsia="宋体" w:cs="Times New Roman"/>
                <w:color w:val="000000"/>
                <w:kern w:val="0"/>
                <w:sz w:val="21"/>
                <w:szCs w:val="21"/>
                <w:lang w:val="fr-FR"/>
              </w:rPr>
              <w:t>2</w:t>
            </w:r>
            <w:r>
              <w:rPr>
                <w:rFonts w:hint="eastAsia" w:ascii="宋体" w:hAnsi="宋体" w:eastAsia="宋体" w:cs="Times New Roman"/>
                <w:color w:val="000000"/>
                <w:kern w:val="0"/>
                <w:sz w:val="21"/>
                <w:szCs w:val="21"/>
                <w:lang w:val="fr-FR"/>
              </w:rPr>
              <w:t>（工作）</w:t>
            </w:r>
            <w:bookmarkEnd w:id="144"/>
            <w:r>
              <w:rPr>
                <w:rFonts w:hint="eastAsia" w:ascii="宋体" w:hAnsi="宋体" w:eastAsia="宋体" w:cs="Times New Roman"/>
                <w:color w:val="000000"/>
                <w:kern w:val="0"/>
                <w:sz w:val="21"/>
                <w:szCs w:val="21"/>
                <w:lang w:val="fr-FR"/>
              </w:rPr>
              <w:t>/4-1</w:t>
            </w:r>
            <w:r>
              <w:rPr>
                <w:rFonts w:ascii="宋体" w:hAnsi="宋体" w:eastAsia="宋体" w:cs="Times New Roman"/>
                <w:color w:val="000000"/>
                <w:kern w:val="0"/>
                <w:sz w:val="21"/>
                <w:szCs w:val="21"/>
                <w:lang w:val="fr-FR"/>
              </w:rPr>
              <w:t>2</w:t>
            </w:r>
            <w:r>
              <w:rPr>
                <w:rFonts w:hint="eastAsia" w:ascii="宋体" w:hAnsi="宋体" w:eastAsia="宋体" w:cs="Times New Roman"/>
                <w:color w:val="000000"/>
                <w:kern w:val="0"/>
                <w:sz w:val="21"/>
                <w:szCs w:val="21"/>
                <w:lang w:val="fr-FR"/>
              </w:rPr>
              <w:t>（长期）/ 3</w:t>
            </w:r>
            <w:r>
              <w:rPr>
                <w:rFonts w:ascii="宋体" w:hAnsi="宋体" w:eastAsia="宋体" w:cs="Times New Roman"/>
                <w:color w:val="000000"/>
                <w:kern w:val="0"/>
                <w:sz w:val="21"/>
                <w:szCs w:val="21"/>
                <w:lang w:val="fr-FR"/>
              </w:rPr>
              <w:t>-</w:t>
            </w:r>
            <w:r>
              <w:rPr>
                <w:rFonts w:hint="eastAsia" w:ascii="宋体" w:hAnsi="宋体" w:eastAsia="宋体" w:cs="Times New Roman"/>
                <w:color w:val="000000"/>
                <w:kern w:val="0"/>
                <w:sz w:val="21"/>
                <w:szCs w:val="21"/>
                <w:lang w:val="fr-FR"/>
              </w:rPr>
              <w:t>14</w:t>
            </w:r>
            <w:bookmarkStart w:id="145" w:name="OLE_LINK83"/>
            <w:r>
              <w:rPr>
                <w:rFonts w:hint="eastAsia" w:ascii="宋体" w:hAnsi="宋体" w:eastAsia="宋体" w:cs="Times New Roman"/>
                <w:color w:val="000000"/>
                <w:kern w:val="0"/>
                <w:sz w:val="21"/>
                <w:szCs w:val="21"/>
                <w:lang w:val="fr-FR"/>
              </w:rPr>
              <w:t>（短期）</w:t>
            </w:r>
            <w:bookmarkEnd w:id="145"/>
          </w:p>
        </w:tc>
        <w:tc>
          <w:tcPr>
            <w:tcW w:w="1677" w:type="dxa"/>
            <w:noWrap w:val="0"/>
            <w:vAlign w:val="center"/>
          </w:tcPr>
          <w:p w14:paraId="2B197C23">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highlight w:val="none"/>
                <w:lang w:val="en-US" w:eastAsia="zh-CN" w:bidi="ar-SA"/>
              </w:rPr>
              <w:t>符合</w:t>
            </w:r>
          </w:p>
        </w:tc>
      </w:tr>
      <w:tr w14:paraId="1F30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8" w:type="dxa"/>
            <w:noWrap w:val="0"/>
            <w:vAlign w:val="center"/>
          </w:tcPr>
          <w:p w14:paraId="795D262D">
            <w:pPr>
              <w:widowControl/>
              <w:tabs>
                <w:tab w:val="left" w:pos="2465"/>
              </w:tabs>
              <w:spacing w:after="100" w:afterAutospacing="1"/>
              <w:jc w:val="center"/>
              <w:rPr>
                <w:rFonts w:hint="default" w:ascii="宋体" w:hAnsi="宋体" w:eastAsia="宋体" w:cs="Times New Roman"/>
                <w:color w:val="000000"/>
                <w:kern w:val="13"/>
                <w:sz w:val="21"/>
                <w:szCs w:val="21"/>
                <w:lang w:val="en-US" w:eastAsia="zh-CN" w:bidi="ar-SA"/>
              </w:rPr>
            </w:pPr>
            <w:r>
              <w:rPr>
                <w:rFonts w:hint="eastAsia" w:ascii="宋体" w:hAnsi="宋体" w:eastAsia="宋体" w:cs="Times New Roman"/>
                <w:kern w:val="0"/>
                <w:sz w:val="21"/>
                <w:szCs w:val="21"/>
                <w:lang w:val="en-US" w:eastAsia="zh-CN"/>
              </w:rPr>
              <w:t>URS09</w:t>
            </w:r>
          </w:p>
        </w:tc>
        <w:tc>
          <w:tcPr>
            <w:tcW w:w="6525" w:type="dxa"/>
            <w:noWrap w:val="0"/>
            <w:vAlign w:val="center"/>
          </w:tcPr>
          <w:p w14:paraId="39CFAD3D">
            <w:pPr>
              <w:widowControl/>
              <w:tabs>
                <w:tab w:val="left" w:pos="2465"/>
              </w:tabs>
              <w:spacing w:after="100" w:afterAutospacing="1"/>
              <w:jc w:val="left"/>
              <w:rPr>
                <w:rFonts w:hint="eastAsia" w:ascii="宋体" w:hAnsi="宋体" w:eastAsia="宋体" w:cs="Times New Roman"/>
                <w:color w:val="000000"/>
                <w:kern w:val="0"/>
                <w:sz w:val="21"/>
                <w:szCs w:val="21"/>
                <w:lang w:val="fr-FR" w:eastAsia="zh-CN"/>
              </w:rPr>
            </w:pPr>
            <w:r>
              <w:rPr>
                <w:rFonts w:hint="eastAsia" w:ascii="宋体" w:hAnsi="宋体" w:eastAsia="宋体" w:cs="Times New Roman"/>
                <w:color w:val="000000"/>
                <w:kern w:val="0"/>
                <w:sz w:val="21"/>
                <w:szCs w:val="21"/>
                <w:lang w:val="fr-FR"/>
              </w:rPr>
              <w:t>化学稳定性</w:t>
            </w:r>
            <w:r>
              <w:rPr>
                <w:rFonts w:hint="eastAsia" w:ascii="宋体" w:hAnsi="宋体" w:eastAsia="宋体" w:cs="Times New Roman"/>
                <w:color w:val="000000"/>
                <w:kern w:val="0"/>
                <w:sz w:val="21"/>
                <w:szCs w:val="21"/>
                <w:lang w:val="fr-FR" w:eastAsia="zh-CN"/>
              </w:rPr>
              <w:t>：</w:t>
            </w:r>
            <w:r>
              <w:rPr>
                <w:rFonts w:hint="eastAsia" w:ascii="宋体" w:hAnsi="宋体" w:eastAsia="宋体" w:cs="Times New Roman"/>
                <w:color w:val="000000"/>
                <w:kern w:val="0"/>
                <w:sz w:val="21"/>
                <w:szCs w:val="21"/>
                <w:lang w:val="fr-FR"/>
              </w:rPr>
              <w:t>常用缓冲液、1.0M</w:t>
            </w:r>
            <w:bookmarkStart w:id="146" w:name="OLE_LINK38"/>
            <w:r>
              <w:rPr>
                <w:rFonts w:hint="eastAsia" w:ascii="宋体" w:hAnsi="宋体" w:eastAsia="宋体" w:cs="Times New Roman"/>
                <w:color w:val="000000"/>
                <w:kern w:val="0"/>
                <w:sz w:val="21"/>
                <w:szCs w:val="21"/>
                <w:lang w:val="fr-FR"/>
              </w:rPr>
              <w:t>氢氧化钠</w:t>
            </w:r>
            <w:bookmarkEnd w:id="146"/>
            <w:r>
              <w:rPr>
                <w:rFonts w:hint="eastAsia" w:ascii="宋体" w:hAnsi="宋体" w:eastAsia="宋体" w:cs="Times New Roman"/>
                <w:color w:val="000000"/>
                <w:kern w:val="0"/>
                <w:sz w:val="21"/>
                <w:szCs w:val="21"/>
                <w:lang w:val="fr-FR"/>
              </w:rPr>
              <w:t>、8</w:t>
            </w:r>
            <w:r>
              <w:rPr>
                <w:rFonts w:ascii="宋体" w:hAnsi="宋体" w:eastAsia="宋体" w:cs="Times New Roman"/>
                <w:color w:val="000000"/>
                <w:kern w:val="0"/>
                <w:sz w:val="21"/>
                <w:szCs w:val="21"/>
                <w:lang w:val="fr-FR"/>
              </w:rPr>
              <w:t xml:space="preserve">M </w:t>
            </w:r>
            <w:r>
              <w:rPr>
                <w:rFonts w:hint="eastAsia" w:ascii="宋体" w:hAnsi="宋体" w:eastAsia="宋体" w:cs="Times New Roman"/>
                <w:color w:val="000000"/>
                <w:kern w:val="0"/>
                <w:sz w:val="21"/>
                <w:szCs w:val="21"/>
                <w:lang w:val="fr-FR"/>
              </w:rPr>
              <w:t>尿素、6</w:t>
            </w:r>
            <w:r>
              <w:rPr>
                <w:rFonts w:ascii="宋体" w:hAnsi="宋体" w:eastAsia="宋体" w:cs="Times New Roman"/>
                <w:color w:val="000000"/>
                <w:kern w:val="0"/>
                <w:sz w:val="21"/>
                <w:szCs w:val="21"/>
                <w:lang w:val="fr-FR"/>
              </w:rPr>
              <w:t xml:space="preserve">M </w:t>
            </w:r>
            <w:r>
              <w:rPr>
                <w:rFonts w:hint="eastAsia" w:ascii="宋体" w:hAnsi="宋体" w:eastAsia="宋体" w:cs="Times New Roman"/>
                <w:color w:val="000000"/>
                <w:kern w:val="0"/>
                <w:sz w:val="21"/>
                <w:szCs w:val="21"/>
                <w:lang w:val="fr-FR"/>
              </w:rPr>
              <w:t>盐酸胍、70%乙醇</w:t>
            </w:r>
          </w:p>
        </w:tc>
        <w:tc>
          <w:tcPr>
            <w:tcW w:w="1677" w:type="dxa"/>
            <w:noWrap w:val="0"/>
            <w:vAlign w:val="center"/>
          </w:tcPr>
          <w:p w14:paraId="7019DF1A">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lang w:val="en-US" w:eastAsia="zh-CN" w:bidi="ar-SA"/>
              </w:rPr>
              <w:t>符合</w:t>
            </w:r>
          </w:p>
        </w:tc>
      </w:tr>
      <w:tr w14:paraId="521B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38" w:type="dxa"/>
            <w:noWrap w:val="0"/>
            <w:vAlign w:val="center"/>
          </w:tcPr>
          <w:p w14:paraId="3A5D4F17">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0"/>
                <w:sz w:val="21"/>
                <w:szCs w:val="21"/>
                <w:lang w:val="en-US" w:eastAsia="zh-CN"/>
              </w:rPr>
              <w:t>URS10</w:t>
            </w:r>
          </w:p>
        </w:tc>
        <w:tc>
          <w:tcPr>
            <w:tcW w:w="6525" w:type="dxa"/>
            <w:noWrap w:val="0"/>
            <w:vAlign w:val="center"/>
          </w:tcPr>
          <w:p w14:paraId="75206484">
            <w:pPr>
              <w:widowControl/>
              <w:spacing w:after="100" w:afterAutospacing="1"/>
              <w:jc w:val="left"/>
              <w:rPr>
                <w:rFonts w:hint="eastAsia" w:ascii="宋体" w:hAnsi="宋体" w:eastAsia="宋体" w:cs="Times New Roman"/>
                <w:color w:val="000000"/>
                <w:kern w:val="0"/>
                <w:sz w:val="21"/>
                <w:szCs w:val="21"/>
                <w:lang w:val="fr-FR" w:eastAsia="zh-CN"/>
              </w:rPr>
            </w:pPr>
            <w:r>
              <w:rPr>
                <w:rFonts w:hint="eastAsia" w:ascii="宋体" w:hAnsi="宋体" w:eastAsia="宋体" w:cs="Times New Roman"/>
                <w:color w:val="000000"/>
                <w:kern w:val="0"/>
                <w:sz w:val="21"/>
                <w:szCs w:val="21"/>
                <w:lang w:val="fr-FR"/>
              </w:rPr>
              <w:t>避免使用</w:t>
            </w:r>
            <w:r>
              <w:rPr>
                <w:rFonts w:hint="eastAsia" w:ascii="宋体" w:hAnsi="宋体" w:eastAsia="宋体" w:cs="Times New Roman"/>
                <w:color w:val="000000"/>
                <w:kern w:val="0"/>
                <w:sz w:val="21"/>
                <w:szCs w:val="21"/>
                <w:lang w:val="fr-FR" w:eastAsia="zh-CN"/>
              </w:rPr>
              <w:t>：</w:t>
            </w:r>
            <w:r>
              <w:rPr>
                <w:rFonts w:hint="eastAsia" w:ascii="宋体" w:hAnsi="宋体" w:eastAsia="宋体" w:cs="Times New Roman"/>
                <w:color w:val="000000"/>
                <w:kern w:val="0"/>
                <w:sz w:val="21"/>
                <w:szCs w:val="21"/>
                <w:lang w:val="fr-FR"/>
              </w:rPr>
              <w:t>氧化剂、阳离子型去污剂、阳离子型缓冲液</w:t>
            </w:r>
          </w:p>
        </w:tc>
        <w:tc>
          <w:tcPr>
            <w:tcW w:w="1677" w:type="dxa"/>
            <w:noWrap w:val="0"/>
            <w:vAlign w:val="center"/>
          </w:tcPr>
          <w:p w14:paraId="47435491">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highlight w:val="none"/>
                <w:lang w:val="en-US" w:eastAsia="zh-CN" w:bidi="ar-SA"/>
              </w:rPr>
              <w:t>符合</w:t>
            </w:r>
          </w:p>
        </w:tc>
      </w:tr>
      <w:tr w14:paraId="60DF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643ACDA3">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0"/>
                <w:sz w:val="21"/>
                <w:szCs w:val="21"/>
                <w:lang w:val="en-US" w:eastAsia="zh-CN"/>
              </w:rPr>
              <w:t>URS11</w:t>
            </w:r>
          </w:p>
        </w:tc>
        <w:tc>
          <w:tcPr>
            <w:tcW w:w="6525" w:type="dxa"/>
            <w:noWrap w:val="0"/>
            <w:vAlign w:val="center"/>
          </w:tcPr>
          <w:p w14:paraId="65B7D98F">
            <w:pPr>
              <w:widowControl/>
              <w:spacing w:after="100" w:afterAutospacing="1"/>
              <w:jc w:val="left"/>
              <w:rPr>
                <w:rFonts w:hint="eastAsia" w:ascii="宋体" w:hAnsi="宋体" w:eastAsia="宋体" w:cs="宋体"/>
                <w:color w:val="000000"/>
                <w:kern w:val="0"/>
                <w:sz w:val="21"/>
                <w:szCs w:val="21"/>
                <w:lang w:val="fr-FR" w:eastAsia="zh-CN"/>
              </w:rPr>
            </w:pPr>
            <w:bookmarkStart w:id="147" w:name="OLE_LINK82"/>
            <w:r>
              <w:rPr>
                <w:rFonts w:hint="eastAsia" w:ascii="宋体" w:hAnsi="宋体" w:eastAsia="宋体" w:cs="宋体"/>
                <w:color w:val="000000"/>
                <w:kern w:val="0"/>
                <w:sz w:val="21"/>
                <w:szCs w:val="21"/>
                <w:lang w:val="fr-FR"/>
              </w:rPr>
              <w:t>贮存溶液</w:t>
            </w:r>
            <w:r>
              <w:rPr>
                <w:rFonts w:hint="eastAsia" w:ascii="宋体" w:hAnsi="宋体" w:eastAsia="宋体" w:cs="宋体"/>
                <w:color w:val="000000"/>
                <w:kern w:val="0"/>
                <w:sz w:val="21"/>
                <w:szCs w:val="21"/>
                <w:lang w:val="fr-FR" w:eastAsia="zh-CN"/>
              </w:rPr>
              <w:t>：</w:t>
            </w:r>
            <w:r>
              <w:rPr>
                <w:rFonts w:hint="eastAsia" w:ascii="宋体" w:hAnsi="宋体" w:eastAsia="宋体" w:cs="Times New Roman"/>
                <w:kern w:val="0"/>
                <w:sz w:val="21"/>
                <w:szCs w:val="21"/>
                <w:lang w:val="fr-FR"/>
              </w:rPr>
              <w:t>0.2M NaAc，20%乙醇</w:t>
            </w:r>
          </w:p>
          <w:bookmarkEnd w:id="147"/>
        </w:tc>
        <w:tc>
          <w:tcPr>
            <w:tcW w:w="1677" w:type="dxa"/>
            <w:noWrap w:val="0"/>
            <w:vAlign w:val="center"/>
          </w:tcPr>
          <w:p w14:paraId="0075896A">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lang w:val="en-US" w:eastAsia="zh-CN" w:bidi="ar-SA"/>
              </w:rPr>
              <w:t>符合</w:t>
            </w:r>
          </w:p>
        </w:tc>
      </w:tr>
      <w:tr w14:paraId="0D2D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238" w:type="dxa"/>
            <w:noWrap w:val="0"/>
            <w:vAlign w:val="center"/>
          </w:tcPr>
          <w:p w14:paraId="48B5C4F8">
            <w:pPr>
              <w:widowControl/>
              <w:tabs>
                <w:tab w:val="left" w:pos="2465"/>
              </w:tabs>
              <w:spacing w:after="100" w:afterAutospacing="1"/>
              <w:jc w:val="center"/>
              <w:rPr>
                <w:rFonts w:hint="default" w:ascii="宋体" w:hAnsi="宋体" w:eastAsia="宋体" w:cs="Times New Roman"/>
                <w:color w:val="000000"/>
                <w:kern w:val="13"/>
                <w:sz w:val="21"/>
                <w:szCs w:val="21"/>
                <w:lang w:val="en-US" w:eastAsia="zh-CN" w:bidi="ar-SA"/>
              </w:rPr>
            </w:pPr>
            <w:r>
              <w:rPr>
                <w:rFonts w:hint="eastAsia" w:ascii="宋体" w:hAnsi="宋体" w:eastAsia="宋体" w:cs="Times New Roman"/>
                <w:kern w:val="0"/>
                <w:sz w:val="21"/>
                <w:szCs w:val="21"/>
                <w:lang w:val="en-US" w:eastAsia="zh-CN"/>
              </w:rPr>
              <w:t>URS12</w:t>
            </w:r>
          </w:p>
        </w:tc>
        <w:tc>
          <w:tcPr>
            <w:tcW w:w="6525" w:type="dxa"/>
            <w:noWrap w:val="0"/>
            <w:vAlign w:val="center"/>
          </w:tcPr>
          <w:p w14:paraId="5DD78167">
            <w:pPr>
              <w:widowControl/>
              <w:spacing w:after="100" w:afterAutospacing="1"/>
              <w:jc w:val="left"/>
              <w:rPr>
                <w:rFonts w:hint="eastAsia" w:ascii="宋体" w:hAnsi="宋体" w:eastAsia="宋体" w:cs="宋体"/>
                <w:color w:val="000000"/>
                <w:kern w:val="0"/>
                <w:sz w:val="21"/>
                <w:szCs w:val="21"/>
                <w:lang w:val="fr-FR" w:eastAsia="zh-CN"/>
              </w:rPr>
            </w:pPr>
            <w:bookmarkStart w:id="148" w:name="OLE_LINK7"/>
            <w:r>
              <w:rPr>
                <w:rFonts w:hint="eastAsia" w:ascii="宋体" w:hAnsi="宋体" w:eastAsia="宋体" w:cs="宋体"/>
                <w:color w:val="000000"/>
                <w:kern w:val="0"/>
                <w:sz w:val="21"/>
                <w:szCs w:val="21"/>
                <w:lang w:val="fr-FR"/>
              </w:rPr>
              <w:t>贮存温度</w:t>
            </w:r>
            <w:r>
              <w:rPr>
                <w:rFonts w:hint="eastAsia" w:ascii="宋体" w:hAnsi="宋体" w:eastAsia="宋体" w:cs="宋体"/>
                <w:color w:val="000000"/>
                <w:kern w:val="0"/>
                <w:sz w:val="21"/>
                <w:szCs w:val="21"/>
                <w:lang w:val="fr-FR" w:eastAsia="zh-CN"/>
              </w:rPr>
              <w:t>：</w:t>
            </w:r>
            <w:r>
              <w:rPr>
                <w:rFonts w:ascii="宋体" w:hAnsi="宋体" w:eastAsia="宋体" w:cs="Times New Roman"/>
                <w:color w:val="000000"/>
                <w:kern w:val="0"/>
                <w:sz w:val="21"/>
                <w:szCs w:val="21"/>
                <w:lang w:val="fr-FR"/>
              </w:rPr>
              <w:t>4</w:t>
            </w:r>
            <w:r>
              <w:rPr>
                <w:rFonts w:hint="eastAsia" w:ascii="宋体" w:hAnsi="宋体" w:eastAsia="宋体" w:cs="Times New Roman"/>
                <w:color w:val="000000"/>
                <w:kern w:val="0"/>
                <w:sz w:val="21"/>
                <w:szCs w:val="21"/>
                <w:lang w:val="fr-FR"/>
              </w:rPr>
              <w:t>-30</w:t>
            </w:r>
            <w:r>
              <w:rPr>
                <w:rFonts w:hint="eastAsia" w:ascii="宋体" w:hAnsi="宋体" w:eastAsia="宋体" w:cs="宋体"/>
                <w:color w:val="000000"/>
                <w:kern w:val="0"/>
                <w:sz w:val="21"/>
                <w:szCs w:val="21"/>
                <w:lang w:val="fr-FR"/>
              </w:rPr>
              <w:t>℃</w:t>
            </w:r>
          </w:p>
          <w:bookmarkEnd w:id="148"/>
        </w:tc>
        <w:tc>
          <w:tcPr>
            <w:tcW w:w="1677" w:type="dxa"/>
            <w:noWrap w:val="0"/>
            <w:vAlign w:val="center"/>
          </w:tcPr>
          <w:p w14:paraId="54FAE95D">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highlight w:val="none"/>
                <w:lang w:val="en-US" w:eastAsia="zh-CN" w:bidi="ar-SA"/>
              </w:rPr>
              <w:t>符合</w:t>
            </w:r>
          </w:p>
        </w:tc>
      </w:tr>
    </w:tbl>
    <w:p w14:paraId="3297A6BF">
      <w:pPr>
        <w:keepNext/>
        <w:numPr>
          <w:ilvl w:val="1"/>
          <w:numId w:val="11"/>
        </w:numPr>
        <w:spacing w:before="240" w:after="60"/>
        <w:outlineLvl w:val="1"/>
        <w:rPr>
          <w:rFonts w:hint="eastAsia" w:ascii="Times New Roman" w:hAnsi="Times New Roman" w:eastAsia="宋体" w:cs="Times New Roman"/>
          <w:b/>
          <w:sz w:val="28"/>
          <w:lang w:val="fr-FR" w:eastAsia="zh-CN" w:bidi="ar-SA"/>
        </w:rPr>
      </w:pPr>
      <w:bookmarkStart w:id="149" w:name="_Toc24784"/>
      <w:bookmarkStart w:id="150" w:name="_Toc330560357"/>
      <w:bookmarkStart w:id="151" w:name="_Toc3353"/>
      <w:r>
        <w:rPr>
          <w:rFonts w:hint="eastAsia" w:ascii="Times New Roman" w:hAnsi="Times New Roman" w:eastAsia="宋体" w:cs="Times New Roman"/>
          <w:b/>
          <w:sz w:val="28"/>
          <w:lang w:val="en-US" w:eastAsia="zh-CN" w:bidi="ar-SA"/>
        </w:rPr>
        <w:t>装柱及工艺要求</w:t>
      </w:r>
      <w:bookmarkEnd w:id="149"/>
      <w:bookmarkEnd w:id="150"/>
      <w:bookmarkEnd w:id="151"/>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10"/>
        <w:gridCol w:w="1692"/>
      </w:tblGrid>
      <w:tr w14:paraId="0DF9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0DCE1B0E">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10" w:type="dxa"/>
            <w:noWrap w:val="0"/>
            <w:vAlign w:val="center"/>
          </w:tcPr>
          <w:p w14:paraId="2839EAD1">
            <w:pPr>
              <w:widowControl/>
              <w:spacing w:line="360" w:lineRule="exact"/>
              <w:jc w:val="center"/>
              <w:outlineLvl w:val="9"/>
              <w:rPr>
                <w:rFonts w:hint="default" w:ascii="宋体" w:hAnsi="宋体" w:eastAsia="宋体" w:cs="宋体"/>
                <w:b/>
                <w:kern w:val="13"/>
                <w:sz w:val="21"/>
                <w:szCs w:val="21"/>
                <w:lang w:val="en-US" w:eastAsia="zh-CN" w:bidi="ar-SA"/>
              </w:rPr>
            </w:pPr>
            <w:r>
              <w:rPr>
                <w:rFonts w:hint="eastAsia" w:ascii="宋体" w:hAnsi="宋体" w:eastAsia="宋体" w:cs="宋体"/>
                <w:b/>
                <w:kern w:val="0"/>
                <w:sz w:val="21"/>
                <w:szCs w:val="21"/>
                <w:lang w:val="en-US" w:eastAsia="zh-CN"/>
              </w:rPr>
              <w:t>要求内容</w:t>
            </w:r>
          </w:p>
        </w:tc>
        <w:tc>
          <w:tcPr>
            <w:tcW w:w="1692" w:type="dxa"/>
            <w:noWrap w:val="0"/>
            <w:vAlign w:val="center"/>
          </w:tcPr>
          <w:p w14:paraId="07918646">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符合法规/必需</w:t>
            </w:r>
          </w:p>
        </w:tc>
      </w:tr>
      <w:tr w14:paraId="6B43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102D2B91">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URS13</w:t>
            </w:r>
          </w:p>
        </w:tc>
        <w:tc>
          <w:tcPr>
            <w:tcW w:w="6510" w:type="dxa"/>
            <w:noWrap w:val="0"/>
            <w:vAlign w:val="center"/>
          </w:tcPr>
          <w:p w14:paraId="772A54AE">
            <w:pPr>
              <w:widowControl/>
              <w:snapToGrid w:val="0"/>
              <w:spacing w:line="360" w:lineRule="exact"/>
              <w:jc w:val="left"/>
              <w:outlineLvl w:val="9"/>
              <w:rPr>
                <w:rFonts w:hint="default" w:ascii="宋体" w:hAnsi="宋体" w:eastAsia="宋体" w:cs="Times New Roman"/>
                <w:kern w:val="13"/>
                <w:sz w:val="21"/>
                <w:szCs w:val="21"/>
                <w:lang w:val="en-US" w:eastAsia="zh-CN" w:bidi="ar-SA"/>
              </w:rPr>
            </w:pPr>
            <w:r>
              <w:rPr>
                <w:rFonts w:hint="eastAsia" w:ascii="宋体" w:hAnsi="宋体" w:eastAsia="宋体" w:cs="宋体"/>
                <w:kern w:val="0"/>
                <w:sz w:val="21"/>
                <w:szCs w:val="21"/>
                <w:lang w:val="fr-FR"/>
              </w:rPr>
              <w:t>所供填料</w:t>
            </w:r>
            <w:r>
              <w:rPr>
                <w:rFonts w:hint="eastAsia" w:ascii="宋体" w:hAnsi="宋体" w:eastAsia="宋体" w:cs="宋体"/>
                <w:color w:val="000000"/>
                <w:kern w:val="0"/>
                <w:sz w:val="21"/>
                <w:szCs w:val="21"/>
                <w:lang w:val="fr-FR"/>
              </w:rPr>
              <w:t>能够完全适配于利穗公司生产的层析柱设备</w:t>
            </w:r>
            <w:r>
              <w:rPr>
                <w:rFonts w:hint="eastAsia" w:ascii="宋体" w:hAnsi="宋体" w:eastAsia="宋体" w:cs="宋体"/>
                <w:color w:val="000000"/>
                <w:kern w:val="0"/>
                <w:sz w:val="21"/>
                <w:szCs w:val="21"/>
                <w:lang w:val="fr-FR" w:eastAsia="zh-CN"/>
              </w:rPr>
              <w:t>，</w:t>
            </w:r>
            <w:r>
              <w:rPr>
                <w:rFonts w:hint="eastAsia" w:ascii="宋体" w:hAnsi="宋体" w:eastAsia="宋体" w:cs="宋体"/>
                <w:color w:val="000000"/>
                <w:kern w:val="0"/>
                <w:sz w:val="21"/>
                <w:szCs w:val="21"/>
                <w:lang w:val="en-US" w:eastAsia="zh-CN"/>
              </w:rPr>
              <w:t>装柱柱效应满足工艺要求。</w:t>
            </w:r>
          </w:p>
        </w:tc>
        <w:tc>
          <w:tcPr>
            <w:tcW w:w="1692" w:type="dxa"/>
            <w:noWrap w:val="0"/>
            <w:vAlign w:val="center"/>
          </w:tcPr>
          <w:p w14:paraId="04081942">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13"/>
                <w:sz w:val="21"/>
                <w:szCs w:val="21"/>
                <w:lang w:val="en-US" w:eastAsia="zh-CN" w:bidi="ar-SA"/>
              </w:rPr>
              <w:t>关键</w:t>
            </w:r>
          </w:p>
        </w:tc>
      </w:tr>
      <w:tr w14:paraId="65605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238" w:type="dxa"/>
            <w:noWrap w:val="0"/>
            <w:vAlign w:val="center"/>
          </w:tcPr>
          <w:p w14:paraId="0A873B0D">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URS14</w:t>
            </w:r>
          </w:p>
        </w:tc>
        <w:tc>
          <w:tcPr>
            <w:tcW w:w="6510" w:type="dxa"/>
            <w:noWrap w:val="0"/>
            <w:vAlign w:val="center"/>
          </w:tcPr>
          <w:p w14:paraId="20146154">
            <w:pPr>
              <w:widowControl/>
              <w:snapToGrid w:val="0"/>
              <w:spacing w:line="360" w:lineRule="exact"/>
              <w:jc w:val="left"/>
              <w:outlineLvl w:val="9"/>
              <w:rPr>
                <w:rFonts w:hint="eastAsia" w:ascii="宋体" w:hAnsi="宋体" w:eastAsia="宋体" w:cs="Times New Roman"/>
                <w:kern w:val="0"/>
                <w:sz w:val="21"/>
                <w:szCs w:val="21"/>
                <w:lang w:val="fr-FR" w:eastAsia="zh-CN"/>
              </w:rPr>
            </w:pPr>
            <w:r>
              <w:rPr>
                <w:rFonts w:hint="eastAsia" w:ascii="宋体" w:hAnsi="宋体" w:eastAsia="宋体" w:cs="宋体"/>
                <w:kern w:val="0"/>
                <w:sz w:val="21"/>
                <w:szCs w:val="21"/>
                <w:lang w:val="fr-FR"/>
              </w:rPr>
              <w:t>所供填料所承受的最大压力不低于</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lang w:val="fr-FR"/>
              </w:rPr>
              <w:t>bar。</w:t>
            </w:r>
          </w:p>
        </w:tc>
        <w:tc>
          <w:tcPr>
            <w:tcW w:w="1692" w:type="dxa"/>
            <w:noWrap w:val="0"/>
            <w:vAlign w:val="center"/>
          </w:tcPr>
          <w:p w14:paraId="4E8C46A3">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highlight w:val="none"/>
                <w:lang w:val="en-US" w:eastAsia="zh-CN" w:bidi="ar-SA"/>
              </w:rPr>
              <w:t>符合</w:t>
            </w:r>
          </w:p>
        </w:tc>
      </w:tr>
      <w:tr w14:paraId="6C2B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238" w:type="dxa"/>
            <w:noWrap w:val="0"/>
            <w:vAlign w:val="center"/>
          </w:tcPr>
          <w:p w14:paraId="32089485">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URS15</w:t>
            </w:r>
          </w:p>
        </w:tc>
        <w:tc>
          <w:tcPr>
            <w:tcW w:w="6510" w:type="dxa"/>
            <w:noWrap w:val="0"/>
            <w:vAlign w:val="center"/>
          </w:tcPr>
          <w:p w14:paraId="512AFCDF">
            <w:pPr>
              <w:widowControl/>
              <w:snapToGrid w:val="0"/>
              <w:spacing w:line="360" w:lineRule="exact"/>
              <w:jc w:val="left"/>
              <w:outlineLvl w:val="9"/>
              <w:rPr>
                <w:rFonts w:hint="eastAsia" w:ascii="宋体" w:hAnsi="宋体" w:eastAsia="宋体" w:cs="Times New Roman"/>
                <w:color w:val="000000"/>
                <w:kern w:val="0"/>
                <w:sz w:val="21"/>
                <w:szCs w:val="21"/>
                <w:lang w:val="en-US" w:eastAsia="zh-CN"/>
              </w:rPr>
            </w:pPr>
            <w:r>
              <w:rPr>
                <w:rFonts w:hint="eastAsia" w:ascii="宋体" w:hAnsi="宋体" w:eastAsia="宋体" w:cs="宋体"/>
                <w:color w:val="000000"/>
                <w:kern w:val="0"/>
                <w:sz w:val="21"/>
                <w:szCs w:val="21"/>
                <w:lang w:val="fr-FR"/>
              </w:rPr>
              <w:t>供应商应提供免费的</w:t>
            </w:r>
            <w:r>
              <w:rPr>
                <w:rFonts w:hint="eastAsia" w:ascii="宋体" w:hAnsi="宋体" w:eastAsia="宋体" w:cs="宋体"/>
                <w:color w:val="000000"/>
                <w:kern w:val="0"/>
                <w:sz w:val="21"/>
                <w:szCs w:val="21"/>
                <w:lang w:val="en-US" w:eastAsia="zh-CN"/>
              </w:rPr>
              <w:t>现场工艺技术</w:t>
            </w:r>
            <w:r>
              <w:rPr>
                <w:rFonts w:hint="eastAsia" w:ascii="宋体" w:hAnsi="宋体" w:eastAsia="宋体" w:cs="宋体"/>
                <w:color w:val="000000"/>
                <w:kern w:val="0"/>
                <w:sz w:val="21"/>
                <w:szCs w:val="21"/>
                <w:lang w:val="fr-FR"/>
              </w:rPr>
              <w:t>支持和培训</w:t>
            </w:r>
            <w:r>
              <w:rPr>
                <w:rFonts w:hint="eastAsia" w:ascii="宋体" w:hAnsi="宋体" w:eastAsia="宋体" w:cs="宋体"/>
                <w:color w:val="000000"/>
                <w:kern w:val="0"/>
                <w:sz w:val="21"/>
                <w:szCs w:val="21"/>
                <w:lang w:val="fr-FR" w:eastAsia="zh-CN"/>
              </w:rPr>
              <w:t>，</w:t>
            </w:r>
            <w:r>
              <w:rPr>
                <w:rFonts w:hint="eastAsia" w:ascii="宋体" w:hAnsi="宋体" w:eastAsia="宋体" w:cs="宋体"/>
                <w:kern w:val="0"/>
                <w:sz w:val="21"/>
                <w:szCs w:val="21"/>
                <w:lang w:val="en-US" w:eastAsia="zh-CN"/>
              </w:rPr>
              <w:t>针对填料的再生清洗进行系统培训。</w:t>
            </w:r>
          </w:p>
        </w:tc>
        <w:tc>
          <w:tcPr>
            <w:tcW w:w="1692" w:type="dxa"/>
            <w:noWrap w:val="0"/>
            <w:vAlign w:val="center"/>
          </w:tcPr>
          <w:p w14:paraId="77893D3A">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lang w:val="en-US" w:eastAsia="zh-CN" w:bidi="ar-SA"/>
              </w:rPr>
              <w:t>符合</w:t>
            </w:r>
          </w:p>
        </w:tc>
      </w:tr>
    </w:tbl>
    <w:p w14:paraId="76E102E5">
      <w:pPr>
        <w:widowControl/>
        <w:jc w:val="left"/>
        <w:rPr>
          <w:rFonts w:hint="eastAsia" w:ascii="Times New Roman" w:hAnsi="Times New Roman" w:eastAsia="宋体" w:cs="Times New Roman"/>
          <w:kern w:val="0"/>
          <w:sz w:val="20"/>
          <w:szCs w:val="20"/>
          <w:lang w:val="fr-FR"/>
        </w:rPr>
      </w:pPr>
    </w:p>
    <w:p w14:paraId="3D723983">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bookmarkStart w:id="152" w:name="_Toc1833"/>
      <w:r>
        <w:rPr>
          <w:rFonts w:hint="eastAsia" w:ascii="Times New Roman" w:hAnsi="Times New Roman" w:eastAsia="宋体" w:cs="Times New Roman"/>
          <w:b/>
          <w:sz w:val="28"/>
          <w:lang w:val="en-US" w:eastAsia="zh-CN" w:bidi="ar-SA"/>
        </w:rPr>
        <w:t>文件资料要求</w:t>
      </w:r>
      <w:bookmarkEnd w:id="152"/>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7D44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103A197D">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28996B02">
            <w:pPr>
              <w:widowControl/>
              <w:spacing w:line="360" w:lineRule="exact"/>
              <w:jc w:val="center"/>
              <w:outlineLvl w:val="9"/>
              <w:rPr>
                <w:rFonts w:hint="default" w:ascii="宋体" w:hAnsi="宋体" w:eastAsia="宋体" w:cs="宋体"/>
                <w:b/>
                <w:kern w:val="13"/>
                <w:sz w:val="21"/>
                <w:szCs w:val="21"/>
                <w:lang w:val="en-US" w:eastAsia="zh-CN" w:bidi="ar-SA"/>
              </w:rPr>
            </w:pPr>
            <w:r>
              <w:rPr>
                <w:rFonts w:hint="eastAsia" w:ascii="宋体" w:hAnsi="宋体" w:eastAsia="宋体" w:cs="宋体"/>
                <w:b/>
                <w:kern w:val="0"/>
                <w:sz w:val="21"/>
                <w:szCs w:val="21"/>
                <w:lang w:val="en-US" w:eastAsia="zh-CN"/>
              </w:rPr>
              <w:t>要求内容</w:t>
            </w:r>
          </w:p>
        </w:tc>
        <w:tc>
          <w:tcPr>
            <w:tcW w:w="1677" w:type="dxa"/>
            <w:noWrap w:val="0"/>
            <w:vAlign w:val="center"/>
          </w:tcPr>
          <w:p w14:paraId="7706AB89">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符合法规/必需</w:t>
            </w:r>
          </w:p>
        </w:tc>
      </w:tr>
      <w:tr w14:paraId="3DC7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5AF8C1FB">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URS16</w:t>
            </w:r>
          </w:p>
        </w:tc>
        <w:tc>
          <w:tcPr>
            <w:tcW w:w="6525" w:type="dxa"/>
            <w:noWrap w:val="0"/>
            <w:vAlign w:val="center"/>
          </w:tcPr>
          <w:p w14:paraId="5C0CCCA1">
            <w:pPr>
              <w:widowControl/>
              <w:snapToGrid w:val="0"/>
              <w:spacing w:line="360" w:lineRule="exact"/>
              <w:jc w:val="left"/>
              <w:outlineLvl w:val="9"/>
              <w:rPr>
                <w:rFonts w:hint="eastAsia" w:ascii="宋体" w:hAnsi="宋体" w:eastAsia="宋体" w:cs="Times New Roman"/>
                <w:kern w:val="13"/>
                <w:sz w:val="21"/>
                <w:szCs w:val="21"/>
                <w:lang w:val="en-US" w:eastAsia="zh-CN" w:bidi="ar-SA"/>
              </w:rPr>
            </w:pPr>
            <w:r>
              <w:rPr>
                <w:rFonts w:hint="eastAsia" w:ascii="宋体" w:hAnsi="宋体" w:eastAsia="宋体" w:cs="宋体"/>
                <w:kern w:val="0"/>
                <w:sz w:val="21"/>
                <w:szCs w:val="21"/>
                <w:lang w:val="fr-FR"/>
              </w:rPr>
              <w:t>需提供供货生产批次的出厂合格证和检验证书（盖章版）一份。</w:t>
            </w:r>
          </w:p>
        </w:tc>
        <w:tc>
          <w:tcPr>
            <w:tcW w:w="1677" w:type="dxa"/>
            <w:noWrap w:val="0"/>
            <w:vAlign w:val="center"/>
          </w:tcPr>
          <w:p w14:paraId="2E132853">
            <w:pPr>
              <w:widowControl/>
              <w:tabs>
                <w:tab w:val="left" w:pos="2465"/>
              </w:tabs>
              <w:spacing w:after="100" w:afterAutospacing="1"/>
              <w:jc w:val="center"/>
              <w:rPr>
                <w:rFonts w:hint="eastAsia" w:ascii="宋体" w:hAnsi="宋体" w:eastAsia="宋体" w:cs="Times New Roman"/>
                <w:kern w:val="13"/>
                <w:sz w:val="21"/>
                <w:szCs w:val="21"/>
                <w:lang w:val="en-US" w:eastAsia="zh-CN" w:bidi="ar-SA"/>
              </w:rPr>
            </w:pPr>
            <w:r>
              <w:rPr>
                <w:rFonts w:hint="eastAsia" w:ascii="宋体" w:hAnsi="宋体" w:eastAsia="宋体" w:cs="Times New Roman"/>
                <w:kern w:val="13"/>
                <w:sz w:val="21"/>
                <w:szCs w:val="21"/>
                <w:highlight w:val="none"/>
                <w:lang w:val="en-US" w:eastAsia="zh-CN" w:bidi="ar-SA"/>
              </w:rPr>
              <w:t>符合</w:t>
            </w:r>
          </w:p>
        </w:tc>
      </w:tr>
      <w:tr w14:paraId="4C1C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0F3AED20">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URS17</w:t>
            </w:r>
          </w:p>
        </w:tc>
        <w:tc>
          <w:tcPr>
            <w:tcW w:w="6525" w:type="dxa"/>
            <w:noWrap w:val="0"/>
            <w:vAlign w:val="center"/>
          </w:tcPr>
          <w:p w14:paraId="0AFA3E4D">
            <w:pPr>
              <w:widowControl/>
              <w:snapToGrid w:val="0"/>
              <w:spacing w:line="360" w:lineRule="exact"/>
              <w:jc w:val="left"/>
              <w:outlineLvl w:val="9"/>
              <w:rPr>
                <w:rFonts w:hint="eastAsia" w:ascii="宋体" w:hAnsi="宋体" w:eastAsia="宋体" w:cs="Times New Roman"/>
                <w:kern w:val="0"/>
                <w:sz w:val="21"/>
                <w:szCs w:val="21"/>
                <w:lang w:val="fr-FR" w:eastAsia="zh-CN"/>
              </w:rPr>
            </w:pPr>
            <w:r>
              <w:rPr>
                <w:rFonts w:hint="eastAsia" w:ascii="宋体" w:hAnsi="宋体" w:eastAsia="宋体" w:cs="宋体"/>
                <w:kern w:val="0"/>
                <w:sz w:val="21"/>
                <w:szCs w:val="21"/>
                <w:lang w:val="fr-FR"/>
              </w:rPr>
              <w:t>需提供所供填料的有效CIP清洗方法和清洁验证建议方案。</w:t>
            </w:r>
          </w:p>
        </w:tc>
        <w:tc>
          <w:tcPr>
            <w:tcW w:w="1677" w:type="dxa"/>
            <w:noWrap w:val="0"/>
            <w:vAlign w:val="center"/>
          </w:tcPr>
          <w:p w14:paraId="5256E371">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lang w:val="en-US" w:eastAsia="zh-CN" w:bidi="ar-SA"/>
              </w:rPr>
              <w:t>符合</w:t>
            </w:r>
          </w:p>
        </w:tc>
      </w:tr>
    </w:tbl>
    <w:p w14:paraId="012949AD">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bookmarkStart w:id="153" w:name="_Toc9726"/>
      <w:r>
        <w:rPr>
          <w:rFonts w:hint="eastAsia" w:ascii="Times New Roman" w:hAnsi="Times New Roman" w:eastAsia="宋体" w:cs="Times New Roman"/>
          <w:b/>
          <w:sz w:val="28"/>
          <w:lang w:val="en-US" w:eastAsia="zh-CN" w:bidi="ar-SA"/>
        </w:rPr>
        <w:t>供货、包装运输等需求</w:t>
      </w:r>
      <w:bookmarkEnd w:id="153"/>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0D64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7F0D26AA">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3E0E42EC">
            <w:pPr>
              <w:widowControl/>
              <w:spacing w:line="360" w:lineRule="exact"/>
              <w:jc w:val="center"/>
              <w:outlineLvl w:val="9"/>
              <w:rPr>
                <w:rFonts w:hint="default" w:ascii="宋体" w:hAnsi="宋体" w:eastAsia="宋体" w:cs="宋体"/>
                <w:b/>
                <w:kern w:val="13"/>
                <w:sz w:val="21"/>
                <w:szCs w:val="21"/>
                <w:lang w:val="en-US" w:eastAsia="zh-CN" w:bidi="ar-SA"/>
              </w:rPr>
            </w:pPr>
            <w:r>
              <w:rPr>
                <w:rFonts w:hint="eastAsia" w:ascii="宋体" w:hAnsi="宋体" w:eastAsia="宋体" w:cs="宋体"/>
                <w:b/>
                <w:kern w:val="0"/>
                <w:sz w:val="21"/>
                <w:szCs w:val="21"/>
                <w:lang w:val="en-US" w:eastAsia="zh-CN"/>
              </w:rPr>
              <w:t>要求内容</w:t>
            </w:r>
          </w:p>
        </w:tc>
        <w:tc>
          <w:tcPr>
            <w:tcW w:w="1677" w:type="dxa"/>
            <w:noWrap w:val="0"/>
            <w:vAlign w:val="center"/>
          </w:tcPr>
          <w:p w14:paraId="62916190">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符合法规/必需</w:t>
            </w:r>
          </w:p>
        </w:tc>
      </w:tr>
      <w:tr w14:paraId="7F22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238" w:type="dxa"/>
            <w:noWrap w:val="0"/>
            <w:vAlign w:val="center"/>
          </w:tcPr>
          <w:p w14:paraId="5C223031">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URS18</w:t>
            </w:r>
          </w:p>
        </w:tc>
        <w:tc>
          <w:tcPr>
            <w:tcW w:w="6525" w:type="dxa"/>
            <w:noWrap w:val="0"/>
            <w:vAlign w:val="center"/>
          </w:tcPr>
          <w:p w14:paraId="3ED93682">
            <w:pPr>
              <w:widowControl/>
              <w:snapToGrid w:val="0"/>
              <w:spacing w:line="360" w:lineRule="exact"/>
              <w:jc w:val="left"/>
              <w:outlineLvl w:val="9"/>
              <w:rPr>
                <w:rFonts w:hint="eastAsia" w:ascii="宋体" w:hAnsi="宋体" w:eastAsia="宋体" w:cs="Times New Roman"/>
                <w:kern w:val="13"/>
                <w:sz w:val="21"/>
                <w:szCs w:val="21"/>
                <w:lang w:val="en-US" w:eastAsia="zh-CN" w:bidi="ar-SA"/>
              </w:rPr>
            </w:pPr>
            <w:r>
              <w:rPr>
                <w:rFonts w:hint="eastAsia" w:ascii="宋体" w:hAnsi="宋体" w:eastAsia="宋体" w:cs="宋体"/>
                <w:b/>
                <w:color w:val="000000"/>
                <w:kern w:val="0"/>
                <w:sz w:val="21"/>
                <w:szCs w:val="21"/>
                <w:lang w:val="fr-FR"/>
              </w:rPr>
              <w:t>最长交货时间</w:t>
            </w:r>
            <w:r>
              <w:rPr>
                <w:rFonts w:hint="eastAsia" w:ascii="宋体" w:hAnsi="宋体" w:eastAsia="宋体" w:cs="宋体"/>
                <w:color w:val="000000"/>
                <w:kern w:val="0"/>
                <w:sz w:val="21"/>
                <w:szCs w:val="21"/>
                <w:lang w:val="fr-FR"/>
              </w:rPr>
              <w:t>：自合同签订之日起，最长</w:t>
            </w:r>
            <w:r>
              <w:rPr>
                <w:rFonts w:hint="eastAsia" w:ascii="宋体" w:hAnsi="宋体" w:eastAsia="宋体" w:cs="宋体"/>
                <w:color w:val="000000"/>
                <w:kern w:val="0"/>
                <w:sz w:val="21"/>
                <w:szCs w:val="21"/>
                <w:lang w:val="en-US" w:eastAsia="zh-CN"/>
              </w:rPr>
              <w:t>15</w:t>
            </w:r>
            <w:r>
              <w:rPr>
                <w:rFonts w:hint="eastAsia" w:ascii="宋体" w:hAnsi="宋体" w:eastAsia="宋体" w:cs="宋体"/>
                <w:color w:val="000000"/>
                <w:kern w:val="0"/>
                <w:sz w:val="21"/>
                <w:szCs w:val="21"/>
                <w:lang w:val="fr-FR"/>
              </w:rPr>
              <w:t>天以内货到现场</w:t>
            </w:r>
            <w:r>
              <w:rPr>
                <w:rFonts w:hint="eastAsia" w:ascii="宋体" w:hAnsi="宋体" w:eastAsia="宋体" w:cs="宋体"/>
                <w:kern w:val="0"/>
                <w:sz w:val="21"/>
                <w:szCs w:val="21"/>
                <w:lang w:val="fr-FR"/>
              </w:rPr>
              <w:t>。</w:t>
            </w:r>
          </w:p>
        </w:tc>
        <w:tc>
          <w:tcPr>
            <w:tcW w:w="1677" w:type="dxa"/>
            <w:noWrap w:val="0"/>
            <w:vAlign w:val="center"/>
          </w:tcPr>
          <w:p w14:paraId="57118720">
            <w:pPr>
              <w:widowControl/>
              <w:tabs>
                <w:tab w:val="left" w:pos="2465"/>
              </w:tabs>
              <w:spacing w:after="100" w:afterAutospacing="1"/>
              <w:jc w:val="center"/>
              <w:rPr>
                <w:rFonts w:hint="eastAsia" w:ascii="宋体" w:hAnsi="宋体" w:eastAsia="宋体" w:cs="Times New Roman"/>
                <w:kern w:val="13"/>
                <w:sz w:val="21"/>
                <w:szCs w:val="21"/>
                <w:lang w:val="en-US" w:eastAsia="zh-CN" w:bidi="ar-SA"/>
              </w:rPr>
            </w:pPr>
            <w:r>
              <w:rPr>
                <w:rFonts w:hint="eastAsia" w:ascii="宋体" w:hAnsi="宋体" w:eastAsia="宋体" w:cs="Times New Roman"/>
                <w:kern w:val="13"/>
                <w:sz w:val="21"/>
                <w:szCs w:val="21"/>
                <w:highlight w:val="none"/>
                <w:lang w:val="en-US" w:eastAsia="zh-CN" w:bidi="ar-SA"/>
              </w:rPr>
              <w:t>符合</w:t>
            </w:r>
          </w:p>
        </w:tc>
      </w:tr>
      <w:tr w14:paraId="32F8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70103824">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URS19</w:t>
            </w:r>
          </w:p>
        </w:tc>
        <w:tc>
          <w:tcPr>
            <w:tcW w:w="6525" w:type="dxa"/>
            <w:noWrap w:val="0"/>
            <w:vAlign w:val="center"/>
          </w:tcPr>
          <w:p w14:paraId="6C5882E3">
            <w:pPr>
              <w:widowControl/>
              <w:snapToGrid w:val="0"/>
              <w:spacing w:line="360" w:lineRule="exact"/>
              <w:jc w:val="left"/>
              <w:outlineLvl w:val="9"/>
              <w:rPr>
                <w:rFonts w:hint="eastAsia" w:ascii="宋体" w:hAnsi="宋体" w:eastAsia="宋体" w:cs="Times New Roman"/>
                <w:kern w:val="0"/>
                <w:sz w:val="21"/>
                <w:szCs w:val="21"/>
                <w:lang w:val="fr-FR" w:eastAsia="zh-CN"/>
              </w:rPr>
            </w:pPr>
            <w:r>
              <w:rPr>
                <w:rFonts w:hint="eastAsia" w:ascii="宋体" w:hAnsi="宋体" w:eastAsia="宋体" w:cs="宋体"/>
                <w:b/>
                <w:color w:val="000000"/>
                <w:kern w:val="0"/>
                <w:sz w:val="21"/>
                <w:szCs w:val="21"/>
                <w:lang w:val="fr-FR"/>
              </w:rPr>
              <w:t>包装：</w:t>
            </w:r>
            <w:r>
              <w:rPr>
                <w:rFonts w:hint="eastAsia" w:ascii="宋体" w:hAnsi="宋体" w:eastAsia="宋体" w:cs="宋体"/>
                <w:color w:val="000000"/>
                <w:kern w:val="0"/>
                <w:sz w:val="21"/>
                <w:szCs w:val="21"/>
                <w:lang w:val="fr-FR"/>
              </w:rPr>
              <w:t>所供填料产品应采用符合要求的塑料桶装，用20%乙醇浸泡保存，密封包装；</w:t>
            </w:r>
            <w:r>
              <w:rPr>
                <w:rFonts w:hint="eastAsia" w:ascii="宋体" w:hAnsi="宋体" w:eastAsia="宋体" w:cs="宋体"/>
                <w:kern w:val="0"/>
                <w:sz w:val="21"/>
                <w:szCs w:val="21"/>
                <w:lang w:val="fr-FR"/>
              </w:rPr>
              <w:t>包装</w:t>
            </w:r>
            <w:r>
              <w:rPr>
                <w:rFonts w:hint="eastAsia" w:ascii="宋体" w:hAnsi="宋体" w:eastAsia="宋体" w:cs="宋体"/>
                <w:kern w:val="0"/>
                <w:sz w:val="21"/>
                <w:szCs w:val="21"/>
                <w:lang w:val="de-DE"/>
              </w:rPr>
              <w:t>应有明确标示，标明规格型号、供应商等信息。标示不得涂改、污损。</w:t>
            </w:r>
          </w:p>
        </w:tc>
        <w:tc>
          <w:tcPr>
            <w:tcW w:w="1677" w:type="dxa"/>
            <w:noWrap w:val="0"/>
            <w:vAlign w:val="center"/>
          </w:tcPr>
          <w:p w14:paraId="3D9C7678">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lang w:val="en-US" w:eastAsia="zh-CN" w:bidi="ar-SA"/>
              </w:rPr>
              <w:t>符合</w:t>
            </w:r>
          </w:p>
        </w:tc>
      </w:tr>
      <w:tr w14:paraId="0A39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238" w:type="dxa"/>
            <w:noWrap w:val="0"/>
            <w:vAlign w:val="center"/>
          </w:tcPr>
          <w:p w14:paraId="1C42493D">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URS20</w:t>
            </w:r>
          </w:p>
        </w:tc>
        <w:tc>
          <w:tcPr>
            <w:tcW w:w="6525" w:type="dxa"/>
            <w:noWrap w:val="0"/>
            <w:vAlign w:val="center"/>
          </w:tcPr>
          <w:p w14:paraId="3F45825B">
            <w:pPr>
              <w:widowControl/>
              <w:snapToGrid w:val="0"/>
              <w:spacing w:line="360" w:lineRule="exact"/>
              <w:jc w:val="left"/>
              <w:outlineLvl w:val="9"/>
              <w:rPr>
                <w:rFonts w:hint="eastAsia" w:ascii="宋体" w:hAnsi="宋体" w:eastAsia="宋体" w:cs="宋体"/>
                <w:b/>
                <w:color w:val="000000"/>
                <w:kern w:val="0"/>
                <w:sz w:val="21"/>
                <w:szCs w:val="21"/>
                <w:lang w:val="fr-FR" w:eastAsia="zh-CN"/>
              </w:rPr>
            </w:pPr>
            <w:r>
              <w:rPr>
                <w:rFonts w:hint="eastAsia" w:ascii="宋体" w:hAnsi="宋体" w:eastAsia="宋体" w:cs="宋体"/>
                <w:b/>
                <w:color w:val="000000"/>
                <w:kern w:val="0"/>
                <w:sz w:val="21"/>
                <w:szCs w:val="21"/>
                <w:lang w:val="fr-FR"/>
              </w:rPr>
              <w:t>运输：</w:t>
            </w:r>
            <w:r>
              <w:rPr>
                <w:rFonts w:hint="eastAsia" w:ascii="宋体" w:hAnsi="宋体" w:eastAsia="宋体" w:cs="宋体"/>
                <w:color w:val="000000"/>
                <w:kern w:val="0"/>
                <w:sz w:val="21"/>
                <w:szCs w:val="21"/>
                <w:lang w:val="fr-FR"/>
              </w:rPr>
              <w:t>由供应商负责安全运输到达采购方指定仓库场所</w:t>
            </w:r>
            <w:r>
              <w:rPr>
                <w:rFonts w:hint="eastAsia" w:ascii="宋体" w:hAnsi="宋体" w:eastAsia="宋体" w:cs="宋体"/>
                <w:color w:val="000000"/>
                <w:kern w:val="0"/>
                <w:sz w:val="21"/>
                <w:szCs w:val="21"/>
                <w:lang w:val="fr-FR" w:eastAsia="zh-CN"/>
              </w:rPr>
              <w:t>。</w:t>
            </w:r>
          </w:p>
        </w:tc>
        <w:tc>
          <w:tcPr>
            <w:tcW w:w="1677" w:type="dxa"/>
            <w:noWrap w:val="0"/>
            <w:vAlign w:val="center"/>
          </w:tcPr>
          <w:p w14:paraId="0D476FE4">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highlight w:val="none"/>
                <w:lang w:val="en-US" w:eastAsia="zh-CN" w:bidi="ar-SA"/>
              </w:rPr>
              <w:t>符合</w:t>
            </w:r>
          </w:p>
        </w:tc>
      </w:tr>
    </w:tbl>
    <w:p w14:paraId="660FB70F">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bookmarkStart w:id="154" w:name="_Toc6417"/>
      <w:r>
        <w:rPr>
          <w:rFonts w:hint="eastAsia" w:ascii="Times New Roman" w:hAnsi="Times New Roman" w:eastAsia="宋体" w:cs="Times New Roman"/>
          <w:b/>
          <w:sz w:val="28"/>
          <w:lang w:val="en-US" w:eastAsia="zh-CN" w:bidi="ar-SA"/>
        </w:rPr>
        <w:t>质保及应用要求</w:t>
      </w:r>
      <w:bookmarkEnd w:id="154"/>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6748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71A47C21">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6AFA1465">
            <w:pPr>
              <w:widowControl/>
              <w:spacing w:line="360" w:lineRule="exact"/>
              <w:jc w:val="center"/>
              <w:outlineLvl w:val="9"/>
              <w:rPr>
                <w:rFonts w:hint="default" w:ascii="宋体" w:hAnsi="宋体" w:eastAsia="宋体" w:cs="宋体"/>
                <w:b/>
                <w:kern w:val="13"/>
                <w:sz w:val="21"/>
                <w:szCs w:val="21"/>
                <w:lang w:val="en-US" w:eastAsia="zh-CN" w:bidi="ar-SA"/>
              </w:rPr>
            </w:pPr>
            <w:r>
              <w:rPr>
                <w:rFonts w:hint="eastAsia" w:ascii="宋体" w:hAnsi="宋体" w:eastAsia="宋体" w:cs="宋体"/>
                <w:b/>
                <w:kern w:val="0"/>
                <w:sz w:val="21"/>
                <w:szCs w:val="21"/>
                <w:lang w:val="en-US" w:eastAsia="zh-CN"/>
              </w:rPr>
              <w:t>要求内容</w:t>
            </w:r>
          </w:p>
        </w:tc>
        <w:tc>
          <w:tcPr>
            <w:tcW w:w="1677" w:type="dxa"/>
            <w:noWrap w:val="0"/>
            <w:vAlign w:val="center"/>
          </w:tcPr>
          <w:p w14:paraId="6F4DC248">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符合法规/必需</w:t>
            </w:r>
          </w:p>
        </w:tc>
      </w:tr>
      <w:tr w14:paraId="2A34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238" w:type="dxa"/>
            <w:noWrap w:val="0"/>
            <w:vAlign w:val="center"/>
          </w:tcPr>
          <w:p w14:paraId="1983E4B8">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URS21</w:t>
            </w:r>
          </w:p>
        </w:tc>
        <w:tc>
          <w:tcPr>
            <w:tcW w:w="6525" w:type="dxa"/>
            <w:noWrap w:val="0"/>
            <w:vAlign w:val="center"/>
          </w:tcPr>
          <w:p w14:paraId="3C3CD2A0">
            <w:pPr>
              <w:widowControl/>
              <w:snapToGrid w:val="0"/>
              <w:spacing w:line="360" w:lineRule="exact"/>
              <w:jc w:val="left"/>
              <w:outlineLvl w:val="9"/>
              <w:rPr>
                <w:rFonts w:hint="eastAsia" w:ascii="宋体" w:hAnsi="宋体" w:eastAsia="宋体" w:cs="Times New Roman"/>
                <w:kern w:val="13"/>
                <w:sz w:val="21"/>
                <w:szCs w:val="21"/>
                <w:lang w:val="en-US" w:eastAsia="zh-CN" w:bidi="ar-SA"/>
              </w:rPr>
            </w:pPr>
            <w:r>
              <w:rPr>
                <w:rFonts w:hint="eastAsia" w:ascii="宋体" w:hAnsi="宋体" w:eastAsia="宋体" w:cs="宋体"/>
                <w:kern w:val="0"/>
                <w:sz w:val="21"/>
                <w:szCs w:val="21"/>
                <w:lang w:val="fr-FR"/>
              </w:rPr>
              <w:t>提供至少</w:t>
            </w:r>
            <w:r>
              <w:rPr>
                <w:rFonts w:hint="eastAsia" w:ascii="宋体" w:hAnsi="宋体" w:eastAsia="宋体" w:cs="宋体"/>
                <w:kern w:val="0"/>
                <w:sz w:val="21"/>
                <w:szCs w:val="21"/>
                <w:lang w:val="en-US" w:eastAsia="zh-CN"/>
              </w:rPr>
              <w:t>150次</w:t>
            </w:r>
            <w:r>
              <w:rPr>
                <w:rFonts w:hint="eastAsia" w:ascii="宋体" w:hAnsi="宋体" w:eastAsia="宋体" w:cs="宋体"/>
                <w:kern w:val="0"/>
                <w:sz w:val="21"/>
                <w:szCs w:val="21"/>
                <w:lang w:val="fr-FR"/>
              </w:rPr>
              <w:t>以上循环使用的质保服务。</w:t>
            </w:r>
          </w:p>
        </w:tc>
        <w:tc>
          <w:tcPr>
            <w:tcW w:w="1677" w:type="dxa"/>
            <w:noWrap w:val="0"/>
            <w:vAlign w:val="center"/>
          </w:tcPr>
          <w:p w14:paraId="6324C1D6">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13"/>
                <w:sz w:val="21"/>
                <w:szCs w:val="21"/>
                <w:lang w:val="en-US" w:eastAsia="zh-CN" w:bidi="ar-SA"/>
              </w:rPr>
              <w:t>关键</w:t>
            </w:r>
          </w:p>
        </w:tc>
      </w:tr>
      <w:tr w14:paraId="19F8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238" w:type="dxa"/>
            <w:noWrap w:val="0"/>
            <w:vAlign w:val="center"/>
          </w:tcPr>
          <w:p w14:paraId="4BBE27F1">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URS22</w:t>
            </w:r>
          </w:p>
        </w:tc>
        <w:tc>
          <w:tcPr>
            <w:tcW w:w="6525" w:type="dxa"/>
            <w:noWrap w:val="0"/>
            <w:vAlign w:val="center"/>
          </w:tcPr>
          <w:p w14:paraId="1EC04213">
            <w:pPr>
              <w:widowControl/>
              <w:snapToGrid w:val="0"/>
              <w:spacing w:line="360" w:lineRule="exact"/>
              <w:jc w:val="left"/>
              <w:outlineLvl w:val="9"/>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根据使用次数，供应商负责免费定期测试填料性能，如填料性能下降，供应商需针对此问题对需求方进行恢复填料性能的解决方案。</w:t>
            </w:r>
          </w:p>
        </w:tc>
        <w:tc>
          <w:tcPr>
            <w:tcW w:w="1677" w:type="dxa"/>
            <w:noWrap w:val="0"/>
            <w:vAlign w:val="center"/>
          </w:tcPr>
          <w:p w14:paraId="6EEBE3E5">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13"/>
                <w:sz w:val="21"/>
                <w:szCs w:val="21"/>
                <w:lang w:val="en-US" w:eastAsia="zh-CN" w:bidi="ar-SA"/>
              </w:rPr>
              <w:t>符合</w:t>
            </w:r>
          </w:p>
        </w:tc>
      </w:tr>
      <w:tr w14:paraId="54CB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562CE72A">
            <w:pPr>
              <w:widowControl/>
              <w:tabs>
                <w:tab w:val="left" w:pos="2465"/>
              </w:tabs>
              <w:spacing w:after="100" w:afterAutospacing="1"/>
              <w:jc w:val="center"/>
              <w:rPr>
                <w:rFonts w:hint="default" w:ascii="宋体" w:hAnsi="宋体" w:eastAsia="宋体" w:cs="Times New Roman"/>
                <w:kern w:val="0"/>
                <w:sz w:val="21"/>
                <w:szCs w:val="21"/>
                <w:highlight w:val="none"/>
                <w:lang w:val="en-US"/>
              </w:rPr>
            </w:pPr>
            <w:r>
              <w:rPr>
                <w:rFonts w:hint="eastAsia" w:ascii="宋体" w:hAnsi="宋体" w:eastAsia="宋体" w:cs="Times New Roman"/>
                <w:kern w:val="0"/>
                <w:sz w:val="21"/>
                <w:szCs w:val="21"/>
                <w:highlight w:val="none"/>
                <w:lang w:val="en-US" w:eastAsia="zh-CN"/>
              </w:rPr>
              <w:t>URS24</w:t>
            </w:r>
          </w:p>
        </w:tc>
        <w:tc>
          <w:tcPr>
            <w:tcW w:w="6525" w:type="dxa"/>
            <w:noWrap w:val="0"/>
            <w:vAlign w:val="center"/>
          </w:tcPr>
          <w:p w14:paraId="69F22B54">
            <w:pPr>
              <w:widowControl/>
              <w:snapToGrid w:val="0"/>
              <w:spacing w:line="360" w:lineRule="exact"/>
              <w:jc w:val="left"/>
              <w:outlineLvl w:val="9"/>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投标产品应供货</w:t>
            </w:r>
            <w:r>
              <w:rPr>
                <w:rFonts w:hint="default" w:ascii="Arial" w:hAnsi="Arial" w:eastAsia="宋体" w:cs="Arial"/>
                <w:b w:val="0"/>
                <w:bCs/>
                <w:color w:val="000000"/>
                <w:kern w:val="0"/>
                <w:sz w:val="21"/>
                <w:szCs w:val="21"/>
                <w:highlight w:val="none"/>
                <w:lang w:val="fr-FR"/>
              </w:rPr>
              <w:t>Ni亲和</w:t>
            </w:r>
            <w:r>
              <w:rPr>
                <w:rFonts w:hint="eastAsia" w:ascii="Arial" w:hAnsi="Arial" w:eastAsia="宋体" w:cs="Arial"/>
                <w:b w:val="0"/>
                <w:bCs/>
                <w:kern w:val="0"/>
                <w:sz w:val="21"/>
                <w:szCs w:val="21"/>
                <w:highlight w:val="none"/>
                <w:lang w:val="en-US" w:eastAsia="zh-CN"/>
              </w:rPr>
              <w:t>填料30</w:t>
            </w:r>
            <w:r>
              <w:rPr>
                <w:rFonts w:hint="eastAsia" w:ascii="宋体" w:hAnsi="宋体" w:eastAsia="宋体" w:cs="Times New Roman"/>
                <w:kern w:val="0"/>
                <w:sz w:val="21"/>
                <w:szCs w:val="21"/>
                <w:highlight w:val="none"/>
                <w:lang w:val="en-US" w:eastAsia="zh-CN"/>
              </w:rPr>
              <w:t>L以上规模级别的至少3家以上的不同厂家，并提供采购合同等相关依据。</w:t>
            </w:r>
          </w:p>
        </w:tc>
        <w:tc>
          <w:tcPr>
            <w:tcW w:w="1677" w:type="dxa"/>
            <w:noWrap w:val="0"/>
            <w:vAlign w:val="center"/>
          </w:tcPr>
          <w:p w14:paraId="2DA3C181">
            <w:pPr>
              <w:widowControl/>
              <w:tabs>
                <w:tab w:val="left" w:pos="2465"/>
              </w:tabs>
              <w:spacing w:after="100" w:afterAutospacing="1"/>
              <w:jc w:val="center"/>
              <w:rPr>
                <w:rFonts w:hint="default" w:ascii="Times New Roman" w:hAnsi="Times New Roman" w:eastAsia="宋体" w:cs="Times New Roman"/>
                <w:kern w:val="0"/>
                <w:sz w:val="20"/>
                <w:szCs w:val="20"/>
                <w:lang w:val="en-US" w:eastAsia="zh-CN"/>
              </w:rPr>
            </w:pPr>
            <w:r>
              <w:rPr>
                <w:rFonts w:hint="eastAsia" w:ascii="宋体" w:hAnsi="宋体" w:eastAsia="宋体" w:cs="Times New Roman"/>
                <w:kern w:val="0"/>
                <w:sz w:val="21"/>
                <w:szCs w:val="21"/>
                <w:highlight w:val="none"/>
                <w:lang w:val="en-US" w:eastAsia="zh-CN"/>
              </w:rPr>
              <w:t>符合</w:t>
            </w:r>
          </w:p>
        </w:tc>
      </w:tr>
      <w:tr w14:paraId="0261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1CF7FDFC">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URS25</w:t>
            </w:r>
          </w:p>
        </w:tc>
        <w:tc>
          <w:tcPr>
            <w:tcW w:w="6525" w:type="dxa"/>
            <w:noWrap w:val="0"/>
            <w:vAlign w:val="center"/>
          </w:tcPr>
          <w:p w14:paraId="4029BCEA">
            <w:pPr>
              <w:widowControl/>
              <w:spacing w:line="360" w:lineRule="exact"/>
              <w:ind w:firstLine="0" w:firstLineChars="0"/>
              <w:rPr>
                <w:rFonts w:hint="eastAsia" w:ascii="宋体" w:hAnsi="宋体" w:eastAsia="宋体" w:cs="Times New Roman"/>
                <w:color w:val="000000"/>
                <w:kern w:val="0"/>
                <w:sz w:val="21"/>
                <w:szCs w:val="21"/>
                <w:lang w:val="fr-FR" w:eastAsia="zh-CN" w:bidi="ar-SA"/>
              </w:rPr>
            </w:pPr>
            <w:r>
              <w:rPr>
                <w:rFonts w:hint="eastAsia" w:ascii="宋体" w:hAnsi="宋体" w:eastAsia="宋体" w:cs="Times New Roman"/>
                <w:color w:val="000000"/>
                <w:kern w:val="0"/>
                <w:sz w:val="21"/>
                <w:szCs w:val="21"/>
                <w:lang w:val="fr-FR" w:eastAsia="zh-CN" w:bidi="ar-SA"/>
              </w:rPr>
              <w:t>售后服务：</w:t>
            </w:r>
          </w:p>
          <w:p w14:paraId="41C7EED1">
            <w:pPr>
              <w:widowControl/>
              <w:snapToGrid w:val="0"/>
              <w:spacing w:line="360" w:lineRule="exact"/>
              <w:jc w:val="left"/>
              <w:outlineLvl w:val="9"/>
              <w:rPr>
                <w:rFonts w:hint="eastAsia" w:ascii="宋体" w:hAnsi="宋体" w:eastAsia="宋体" w:cs="Times New Roman"/>
                <w:kern w:val="0"/>
                <w:sz w:val="21"/>
                <w:szCs w:val="21"/>
                <w:highlight w:val="none"/>
                <w:lang w:val="en-US" w:eastAsia="zh-CN"/>
              </w:rPr>
            </w:pPr>
            <w:r>
              <w:rPr>
                <w:rFonts w:hint="eastAsia" w:ascii="宋体" w:hAnsi="宋体" w:eastAsia="宋体" w:cs="Times New Roman"/>
                <w:color w:val="000000"/>
                <w:kern w:val="0"/>
                <w:sz w:val="21"/>
                <w:szCs w:val="21"/>
                <w:lang w:val="fr-FR" w:eastAsia="zh-CN" w:bidi="ar-SA"/>
              </w:rPr>
              <w:t>接到需求方维修维护要求后，应2小时内先以电话或电子邮件形式进行应答，如需现场解决，应于24小时内到达现场</w:t>
            </w:r>
          </w:p>
        </w:tc>
        <w:tc>
          <w:tcPr>
            <w:tcW w:w="1677" w:type="dxa"/>
            <w:noWrap w:val="0"/>
            <w:vAlign w:val="center"/>
          </w:tcPr>
          <w:p w14:paraId="00EA7D61">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符合</w:t>
            </w:r>
          </w:p>
        </w:tc>
      </w:tr>
    </w:tbl>
    <w:p w14:paraId="431BFC3D">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1224"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0">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6"/>
  </w:num>
  <w:num w:numId="2">
    <w:abstractNumId w:val="1"/>
  </w:num>
  <w:num w:numId="3">
    <w:abstractNumId w:val="3"/>
  </w:num>
  <w:num w:numId="4">
    <w:abstractNumId w:val="10"/>
  </w:num>
  <w:num w:numId="5">
    <w:abstractNumId w:val="2"/>
  </w:num>
  <w:num w:numId="6">
    <w:abstractNumId w:val="9"/>
  </w:num>
  <w:num w:numId="7">
    <w:abstractNumId w:val="7"/>
  </w:num>
  <w:num w:numId="8">
    <w:abstractNumId w:val="5"/>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0311475"/>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3E15550"/>
    <w:rsid w:val="24C741C2"/>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631BE9"/>
    <w:rsid w:val="48AC304C"/>
    <w:rsid w:val="48CA449B"/>
    <w:rsid w:val="49772E24"/>
    <w:rsid w:val="4B6C5100"/>
    <w:rsid w:val="4BE75898"/>
    <w:rsid w:val="4C0C1018"/>
    <w:rsid w:val="4C52117B"/>
    <w:rsid w:val="4DED1D23"/>
    <w:rsid w:val="4DF06CFE"/>
    <w:rsid w:val="4E1E7926"/>
    <w:rsid w:val="4E2539F2"/>
    <w:rsid w:val="4F9421CB"/>
    <w:rsid w:val="4FE85234"/>
    <w:rsid w:val="505006DF"/>
    <w:rsid w:val="509D4157"/>
    <w:rsid w:val="50C06A6F"/>
    <w:rsid w:val="51AB25E2"/>
    <w:rsid w:val="52C77193"/>
    <w:rsid w:val="531A366F"/>
    <w:rsid w:val="53455313"/>
    <w:rsid w:val="53965B3B"/>
    <w:rsid w:val="53B7054A"/>
    <w:rsid w:val="54181E8F"/>
    <w:rsid w:val="5492579E"/>
    <w:rsid w:val="54B701C2"/>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5402750"/>
    <w:rsid w:val="65EF46DF"/>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0D46782"/>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 w:type="paragraph" w:customStyle="1" w:styleId="211">
    <w:name w:val="正文-符号"/>
    <w:basedOn w:val="1"/>
    <w:qFormat/>
    <w:uiPriority w:val="0"/>
    <w:pPr>
      <w:widowControl/>
      <w:spacing w:line="360" w:lineRule="exact"/>
      <w:ind w:firstLine="200" w:firstLineChars="200"/>
    </w:pPr>
    <w:rPr>
      <w:rFonts w:hAnsi="Arial"/>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5418</Words>
  <Characters>5777</Characters>
  <Lines>243</Lines>
  <Paragraphs>68</Paragraphs>
  <TotalTime>1</TotalTime>
  <ScaleCrop>false</ScaleCrop>
  <LinksUpToDate>false</LinksUpToDate>
  <CharactersWithSpaces>6548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2026-05-06T01:28:38Z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19074D7912F34E1AA963F8C6FCA52E04_13</vt:lpwstr>
  </property>
  <property fmtid="{D5CDD505-2E9C-101B-9397-08002B2CF9AE}" pid="4" name="KSOTemplateDocerSaveRecord">
    <vt:lpwstr>eyJoZGlkIjoiOTAzM2U2NjM4NDdiYjJlYmU3YzY4YWI0ZWY3YjE0OTAiLCJ1c2VySWQiOiIxNDQzMTU3NzgzIn0=</vt:lpwstr>
  </property>
</Properties>
</file>