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WKZB-2025-036</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鸡滑液囊支原体专用培养基</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鸡滑液囊支原体专用培养基</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WKZB-2025-036</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鸡滑液囊支原体专用培养基</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28608"/>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鸡滑液囊支原体专用培养基 </w:t>
      </w:r>
    </w:p>
    <w:p>
      <w:pPr>
        <w:keepNext w:val="0"/>
        <w:keepLines w:val="0"/>
        <w:pageBreakBefore w:val="0"/>
        <w:kinsoku/>
        <w:wordWrap/>
        <w:overflowPunct/>
        <w:topLinePunct w:val="0"/>
        <w:autoSpaceDE w:val="0"/>
        <w:autoSpaceDN w:val="0"/>
        <w:bidi w:val="0"/>
        <w:adjustRightInd/>
        <w:snapToGrid/>
        <w:spacing w:line="360" w:lineRule="auto"/>
        <w:ind w:firstLine="630" w:firstLineChars="300"/>
        <w:jc w:val="left"/>
        <w:textAlignment w:val="auto"/>
        <w:outlineLvl w:val="9"/>
        <w:rPr>
          <w:rFonts w:hint="default" w:ascii="宋体" w:hAnsi="宋体" w:cs="宋体"/>
          <w:szCs w:val="21"/>
          <w:highlight w:val="none"/>
          <w:lang w:val="en-US" w:bidi="zh-CN"/>
        </w:rPr>
      </w:pPr>
      <w:r>
        <w:rPr>
          <w:rFonts w:hint="eastAsia"/>
          <w:color w:val="FF0000"/>
          <w:highlight w:val="none"/>
          <w:lang w:val="en-US" w:eastAsia="zh-CN"/>
        </w:rPr>
        <w:t>签订</w:t>
      </w:r>
      <w:r>
        <w:rPr>
          <w:rFonts w:hint="eastAsia" w:ascii="宋体" w:hAnsi="宋体" w:cs="宋体"/>
          <w:color w:val="FF0000"/>
          <w:szCs w:val="21"/>
          <w:highlight w:val="none"/>
          <w:lang w:val="en-US" w:bidi="zh-CN"/>
        </w:rPr>
        <w:t>年度采购框架合同</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鸡滑液囊支原体专用培养基</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23826"/>
      <w:bookmarkStart w:id="16" w:name="_Toc1963"/>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鸡滑液囊支原体专用培养基</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商入围鸡滑液囊支原体专用培养基项目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79632544"/>
      <w:bookmarkStart w:id="36" w:name="_Toc25653"/>
      <w:bookmarkStart w:id="37" w:name="_Toc109736026"/>
      <w:bookmarkStart w:id="38" w:name="_Toc152042303"/>
      <w:bookmarkStart w:id="39" w:name="_Toc144974495"/>
      <w:bookmarkStart w:id="40" w:name="_Toc390940505"/>
      <w:bookmarkStart w:id="41" w:name="_Toc233102490"/>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2304"/>
      <w:bookmarkStart w:id="44" w:name="_Toc233102491"/>
      <w:bookmarkStart w:id="45" w:name="_Toc179632545"/>
      <w:bookmarkStart w:id="46" w:name="_Toc109736027"/>
      <w:bookmarkStart w:id="47" w:name="_Toc20399"/>
      <w:bookmarkStart w:id="48" w:name="_Toc144974496"/>
      <w:bookmarkStart w:id="49" w:name="_Toc18804"/>
      <w:bookmarkStart w:id="50" w:name="_Toc152045528"/>
      <w:bookmarkStart w:id="51" w:name="_Toc39094050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2-3</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520356143"/>
      <w:bookmarkStart w:id="54" w:name="_Toc109736028"/>
      <w:bookmarkStart w:id="55" w:name="_Toc233102492"/>
      <w:bookmarkStart w:id="56" w:name="_Toc152045529"/>
      <w:bookmarkStart w:id="57" w:name="_Toc144974497"/>
      <w:bookmarkStart w:id="58" w:name="_Toc152042305"/>
      <w:bookmarkStart w:id="59" w:name="_Toc179632546"/>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17941"/>
      <w:bookmarkStart w:id="63" w:name="_Toc520356144"/>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109736030"/>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109736031"/>
      <w:bookmarkStart w:id="70" w:name="_Toc520356145"/>
      <w:bookmarkStart w:id="71" w:name="_Toc20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47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520356146"/>
      <w:bookmarkStart w:id="76" w:name="_Toc109736033"/>
      <w:bookmarkStart w:id="77" w:name="_Toc1810"/>
      <w:bookmarkStart w:id="78" w:name="_Toc21658280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52035615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195"/>
      <w:bookmarkStart w:id="96" w:name="_Ref467306676"/>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20356153"/>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520356156"/>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23629"/>
      <w:bookmarkStart w:id="119" w:name="_Toc109736045"/>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109736049"/>
      <w:bookmarkStart w:id="128" w:name="_Toc520356163"/>
      <w:bookmarkStart w:id="129" w:name="_Toc216582809"/>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520356175"/>
      <w:bookmarkStart w:id="156" w:name="_Toc109736060"/>
      <w:bookmarkStart w:id="157" w:name="_Ref467306978"/>
      <w:bookmarkStart w:id="158" w:name="_Ref467307062"/>
      <w:bookmarkStart w:id="159" w:name="_Ref467306377"/>
      <w:bookmarkStart w:id="160" w:name="_Ref467307204"/>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094"/>
      <w:bookmarkStart w:id="172" w:name="_Ref467379195"/>
      <w:bookmarkStart w:id="173" w:name="_Ref467379225"/>
      <w:bookmarkStart w:id="174" w:name="_Ref467378463"/>
      <w:bookmarkStart w:id="175" w:name="_Ref467378404"/>
      <w:bookmarkStart w:id="176" w:name="_Ref467379109"/>
      <w:bookmarkStart w:id="177" w:name="_Toc487900349"/>
      <w:bookmarkStart w:id="178" w:name="_Ref467379101"/>
      <w:bookmarkStart w:id="179" w:name="_Ref467378499"/>
      <w:bookmarkStart w:id="180" w:name="_Ref467379214"/>
      <w:bookmarkStart w:id="181" w:name="_Ref467379205"/>
      <w:bookmarkStart w:id="182" w:name="_Toc415222497"/>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31740"/>
      <w:bookmarkStart w:id="190" w:name="_Toc487900350"/>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10492"/>
      <w:bookmarkStart w:id="194" w:name="_Toc2425"/>
      <w:bookmarkStart w:id="195" w:name="_Toc415222499"/>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693"/>
      <w:bookmarkStart w:id="197" w:name="_Toc487900352"/>
      <w:bookmarkStart w:id="198" w:name="_Toc415222500"/>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17967"/>
      <w:bookmarkStart w:id="202" w:name="_Toc415222501"/>
      <w:bookmarkStart w:id="203" w:name="_Toc132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91"/>
      <w:bookmarkStart w:id="205" w:name="_Toc415222502"/>
      <w:bookmarkStart w:id="206" w:name="_Ref467379527"/>
      <w:bookmarkStart w:id="207" w:name="_Toc487900354"/>
      <w:bookmarkStart w:id="208" w:name="_Ref467378541"/>
      <w:bookmarkStart w:id="209" w:name="_Ref467379536"/>
      <w:bookmarkStart w:id="210" w:name="_Toc11864"/>
      <w:bookmarkStart w:id="211" w:name="_Ref467379542"/>
      <w:bookmarkStart w:id="212" w:name="_Toc18715"/>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6625"/>
      <w:bookmarkStart w:id="216" w:name="_Toc415222503"/>
      <w:bookmarkStart w:id="217" w:name="_Toc48790035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15222504"/>
      <w:bookmarkStart w:id="219" w:name="_Ref467379807"/>
      <w:bookmarkStart w:id="220" w:name="_Toc26337"/>
      <w:bookmarkStart w:id="221" w:name="_Toc487900357"/>
      <w:bookmarkStart w:id="222" w:name="_Ref467379793"/>
      <w:bookmarkStart w:id="223" w:name="_Toc15361"/>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Toc6588"/>
      <w:bookmarkStart w:id="226" w:name="_Ref467379923"/>
      <w:bookmarkStart w:id="227" w:name="_Ref467379852"/>
      <w:bookmarkStart w:id="228" w:name="_Toc487900358"/>
      <w:bookmarkStart w:id="229" w:name="_Toc415222505"/>
      <w:bookmarkStart w:id="230" w:name="_Toc1380"/>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9946"/>
      <w:bookmarkStart w:id="232" w:name="_Toc487900359"/>
      <w:bookmarkStart w:id="233" w:name="_Toc415222506"/>
      <w:bookmarkStart w:id="234" w:name="_Ref467377962"/>
      <w:bookmarkStart w:id="235" w:name="_Ref467379937"/>
      <w:bookmarkStart w:id="236" w:name="_Toc15447"/>
      <w:bookmarkStart w:id="237" w:name="_Toc28649"/>
      <w:bookmarkStart w:id="238" w:name="_Ref467377798"/>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87900361"/>
      <w:bookmarkStart w:id="246" w:name="_Toc415222508"/>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31482"/>
      <w:bookmarkStart w:id="251" w:name="_Toc15086"/>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19929"/>
      <w:bookmarkStart w:id="255" w:name="_Toc415222510"/>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Ref467378121"/>
      <w:bookmarkStart w:id="259" w:name="_Toc415222511"/>
      <w:bookmarkStart w:id="260" w:name="_Toc22040"/>
      <w:bookmarkStart w:id="261" w:name="_Toc6322"/>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29320"/>
      <w:bookmarkStart w:id="263" w:name="_Toc1755"/>
      <w:bookmarkStart w:id="264" w:name="_Toc415222512"/>
      <w:bookmarkStart w:id="265" w:name="_Toc48790036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21788"/>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415222514"/>
      <w:bookmarkStart w:id="273" w:name="_Toc16231"/>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15222515"/>
      <w:bookmarkStart w:id="277" w:name="_Toc487900368"/>
      <w:bookmarkStart w:id="278" w:name="_Toc22065"/>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10385"/>
      <w:bookmarkStart w:id="282" w:name="_Toc415222516"/>
      <w:bookmarkStart w:id="283" w:name="_Toc2972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487900370"/>
      <w:bookmarkStart w:id="286" w:name="_Toc13194"/>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415222518"/>
      <w:bookmarkStart w:id="290" w:name="_Toc737"/>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15222520"/>
      <w:bookmarkStart w:id="297" w:name="_Toc23747"/>
      <w:bookmarkStart w:id="298" w:name="_Toc487900373"/>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5896"/>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9175623"/>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9175636"/>
      <w:bookmarkStart w:id="314" w:name="_Toc220229326"/>
      <w:bookmarkStart w:id="315" w:name="_Toc15903"/>
      <w:bookmarkStart w:id="316" w:name="_Toc218935352"/>
      <w:bookmarkStart w:id="317" w:name="_Toc220229431"/>
      <w:bookmarkStart w:id="318" w:name="_Toc27454"/>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216582813"/>
      <w:bookmarkStart w:id="339" w:name="_Toc5329"/>
      <w:bookmarkStart w:id="340" w:name="_Toc109736069"/>
      <w:bookmarkStart w:id="341" w:name="_Toc415222524"/>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29788"/>
      <w:bookmarkStart w:id="346" w:name="_Ref467988705"/>
      <w:bookmarkStart w:id="347" w:name="_Toc480942350"/>
      <w:bookmarkStart w:id="348" w:name="_Toc109736070"/>
      <w:bookmarkStart w:id="349" w:name="_Toc216582814"/>
      <w:bookmarkStart w:id="350" w:name="_Toc415222525"/>
      <w:bookmarkStart w:id="351" w:name="_Toc520356218"/>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鸡滑液囊支原体专用培养基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WKZB-2025-036</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3425"/>
        <w:gridCol w:w="1608"/>
        <w:gridCol w:w="1608"/>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19"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货号及包装规格</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/L</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3"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19"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鸡滑液囊支原体专用培养基</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83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3"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216582818"/>
      <w:bookmarkStart w:id="354" w:name="_Toc109736072"/>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鸡滑液囊支原体专用培养基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WKZB-2025-036</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因产品的特殊性，成交供应商应免费供产品小试三批，每批产品不低于100L培养基</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鸡滑液囊支原体专用培养基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WKZB-2025-036</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Ref467988543"/>
      <w:bookmarkStart w:id="362" w:name="_Toc520356224"/>
      <w:bookmarkStart w:id="363" w:name="_Toc415222530"/>
      <w:bookmarkStart w:id="364" w:name="_Toc109736074"/>
      <w:bookmarkStart w:id="365" w:name="_Toc216582819"/>
      <w:bookmarkStart w:id="366" w:name="_Toc13093"/>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bookmarkStart w:id="433" w:name="_GoBack"/>
      <w:bookmarkEnd w:id="433"/>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343000"/>
      <w:bookmarkEnd w:id="369"/>
      <w:bookmarkStart w:id="370" w:name="_Hlt520273711"/>
      <w:bookmarkEnd w:id="370"/>
      <w:bookmarkStart w:id="371" w:name="_Hlt520274407"/>
      <w:bookmarkEnd w:id="371"/>
      <w:bookmarkStart w:id="372" w:name="_Hlt520343392"/>
      <w:bookmarkEnd w:id="372"/>
      <w:bookmarkStart w:id="373" w:name="_Hlt520350918"/>
      <w:bookmarkEnd w:id="373"/>
      <w:bookmarkStart w:id="374" w:name="_Hlt520274065"/>
      <w:bookmarkEnd w:id="374"/>
      <w:bookmarkStart w:id="375" w:name="_Hlt520350957"/>
      <w:bookmarkEnd w:id="375"/>
      <w:bookmarkStart w:id="376" w:name="_Hlt520273973"/>
      <w:bookmarkEnd w:id="376"/>
      <w:bookmarkStart w:id="377" w:name="_Hlt520274121"/>
      <w:bookmarkEnd w:id="377"/>
      <w:bookmarkStart w:id="378" w:name="_Hlt520271212"/>
      <w:bookmarkEnd w:id="378"/>
      <w:bookmarkStart w:id="379" w:name="_Hlt520274393"/>
      <w:bookmarkEnd w:id="379"/>
      <w:bookmarkStart w:id="380" w:name="_Toc2581"/>
      <w:bookmarkStart w:id="381" w:name="_Toc480942358"/>
      <w:bookmarkStart w:id="382" w:name="_Toc520356229"/>
      <w:bookmarkStart w:id="383" w:name="_Ref467988485"/>
      <w:bookmarkStart w:id="384" w:name="_Toc520125062"/>
      <w:bookmarkStart w:id="385" w:name="_Ref467988471"/>
      <w:bookmarkStart w:id="386" w:name="_Ref467990101"/>
      <w:bookmarkStart w:id="387" w:name="_Ref467990058"/>
      <w:bookmarkStart w:id="388" w:name="_Toc520125061"/>
      <w:bookmarkStart w:id="389" w:name="_Ref467990100"/>
      <w:bookmarkStart w:id="390" w:name="_Ref467990064"/>
      <w:bookmarkStart w:id="391" w:name="_Ref467988479"/>
      <w:bookmarkStart w:id="392" w:name="_Toc480942357"/>
      <w:bookmarkStart w:id="393" w:name="_Toc520356228"/>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鸡滑液囊支原体专用培养基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WKZB-2025-036</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109736075"/>
      <w:bookmarkStart w:id="406" w:name="_Toc216582826"/>
      <w:bookmarkStart w:id="407" w:name="_Toc219175639"/>
      <w:bookmarkStart w:id="408" w:name="_Toc218935355"/>
      <w:bookmarkStart w:id="409" w:name="_Toc220229434"/>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highlight w:val="none"/>
          <w:lang w:val="fr-FR" w:eastAsia="zh-CN" w:bidi="ar-SA"/>
        </w:rPr>
      </w:pPr>
      <w:bookmarkStart w:id="415" w:name="_Toc18725"/>
      <w:bookmarkStart w:id="416" w:name="_Toc1561"/>
      <w:bookmarkStart w:id="417" w:name="_Toc188181412"/>
      <w:bookmarkStart w:id="418" w:name="_Toc61418267"/>
      <w:bookmarkStart w:id="419" w:name="_Toc512327974"/>
      <w:r>
        <w:rPr>
          <w:rFonts w:hint="eastAsia" w:ascii="宋体" w:hAnsi="宋体" w:eastAsia="宋体" w:cs="Times New Roman"/>
          <w:b/>
          <w:caps w:val="0"/>
          <w:kern w:val="28"/>
          <w:sz w:val="30"/>
          <w:szCs w:val="30"/>
          <w:highlight w:val="none"/>
          <w:lang w:val="fr-FR" w:eastAsia="zh-CN" w:bidi="ar-SA"/>
        </w:rPr>
        <w:t>目的</w:t>
      </w:r>
      <w:bookmarkEnd w:id="415"/>
      <w:bookmarkEnd w:id="416"/>
    </w:p>
    <w:bookmarkEnd w:id="417"/>
    <w:bookmarkEnd w:id="418"/>
    <w:p>
      <w:pPr>
        <w:widowControl/>
        <w:spacing w:before="120"/>
        <w:ind w:firstLine="600" w:firstLineChars="300"/>
        <w:jc w:val="left"/>
        <w:rPr>
          <w:rFonts w:hint="eastAsia" w:ascii="Times New Roman" w:hAnsi="Times New Roman" w:eastAsia="宋体" w:cs="Times New Roman"/>
          <w:kern w:val="0"/>
          <w:sz w:val="22"/>
          <w:szCs w:val="20"/>
          <w:lang w:val="fr-FR"/>
        </w:rPr>
      </w:pPr>
      <w:bookmarkStart w:id="420" w:name="_Hlk528847756"/>
      <w:bookmarkStart w:id="421"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ascii="Times New Roman" w:hAnsi="Times New Roman" w:eastAsia="宋体" w:cs="Times New Roman"/>
          <w:kern w:val="0"/>
          <w:sz w:val="20"/>
          <w:szCs w:val="20"/>
          <w:lang w:val="fr-FR"/>
        </w:rPr>
        <w:t>规定</w:t>
      </w:r>
      <w:r>
        <w:rPr>
          <w:rFonts w:hint="eastAsia" w:ascii="Times New Roman" w:hAnsi="Times New Roman" w:eastAsia="宋体" w:cs="Times New Roman"/>
          <w:kern w:val="0"/>
          <w:sz w:val="20"/>
          <w:szCs w:val="20"/>
          <w:lang w:val="en-US" w:eastAsia="zh-CN"/>
        </w:rPr>
        <w:t>滑液囊支原体专用培养基</w:t>
      </w:r>
      <w:r>
        <w:rPr>
          <w:rFonts w:ascii="Times New Roman" w:hAnsi="Times New Roman" w:eastAsia="宋体" w:cs="Times New Roman"/>
          <w:kern w:val="0"/>
          <w:sz w:val="20"/>
          <w:szCs w:val="20"/>
          <w:lang w:val="fr-FR"/>
        </w:rPr>
        <w:t>质量标准</w:t>
      </w:r>
      <w:r>
        <w:rPr>
          <w:rFonts w:ascii="Times New Roman" w:hAnsi="Times New Roman" w:eastAsia="宋体" w:cs="Times New Roman"/>
          <w:kern w:val="0"/>
          <w:sz w:val="22"/>
          <w:szCs w:val="20"/>
          <w:lang w:val="fr-FR"/>
        </w:rPr>
        <w:t>。</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w:t>
      </w:r>
      <w:r>
        <w:rPr>
          <w:rFonts w:hint="eastAsia" w:ascii="宋体" w:hAnsi="宋体" w:eastAsia="宋体" w:cs="Times New Roman"/>
          <w:kern w:val="0"/>
          <w:sz w:val="20"/>
          <w:szCs w:val="20"/>
          <w:lang w:val="fr-FR"/>
        </w:rPr>
        <w:t>供应</w:t>
      </w:r>
      <w:r>
        <w:rPr>
          <w:rFonts w:ascii="宋体" w:hAnsi="宋体" w:eastAsia="宋体" w:cs="Times New Roman"/>
          <w:kern w:val="0"/>
          <w:sz w:val="20"/>
          <w:szCs w:val="20"/>
          <w:lang w:val="fr-FR"/>
        </w:rPr>
        <w:t>商所提供的产品符合我公司的所有要求。</w:t>
      </w:r>
    </w:p>
    <w:bookmarkEnd w:id="420"/>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2" w:name="_Toc716"/>
      <w:r>
        <w:rPr>
          <w:rFonts w:hint="eastAsia" w:ascii="宋体" w:hAnsi="宋体" w:eastAsia="宋体" w:cs="Times New Roman"/>
          <w:b/>
          <w:caps/>
          <w:kern w:val="28"/>
          <w:sz w:val="30"/>
          <w:szCs w:val="30"/>
          <w:lang w:val="en-US" w:eastAsia="zh-CN" w:bidi="ar-SA"/>
        </w:rPr>
        <w:t>范围</w:t>
      </w:r>
      <w:bookmarkEnd w:id="421"/>
      <w:bookmarkEnd w:id="422"/>
    </w:p>
    <w:p>
      <w:pPr>
        <w:keepNext/>
        <w:widowControl/>
        <w:spacing w:before="240" w:after="60"/>
        <w:jc w:val="left"/>
        <w:outlineLvl w:val="0"/>
        <w:rPr>
          <w:rFonts w:hint="eastAsia" w:ascii="宋体" w:hAnsi="宋体" w:eastAsia="宋体" w:cs="Times New Roman"/>
          <w:color w:val="000000"/>
          <w:kern w:val="0"/>
          <w:sz w:val="20"/>
          <w:szCs w:val="20"/>
          <w:highlight w:val="yellow"/>
          <w:lang w:val="fr-FR"/>
        </w:rPr>
      </w:pPr>
      <w:bookmarkStart w:id="423" w:name="_Hlk528847449"/>
      <w:r>
        <w:rPr>
          <w:rFonts w:hint="eastAsia" w:ascii="宋体" w:hAnsi="宋体" w:eastAsia="宋体" w:cs="Times New Roman"/>
          <w:color w:val="000000"/>
          <w:kern w:val="0"/>
          <w:sz w:val="20"/>
          <w:szCs w:val="20"/>
          <w:lang w:val="en-US"/>
        </w:rPr>
        <w:t>用于规定</w:t>
      </w:r>
      <w:r>
        <w:rPr>
          <w:rFonts w:hint="eastAsia" w:ascii="宋体" w:hAnsi="宋体" w:eastAsia="宋体" w:cs="Times New Roman"/>
          <w:color w:val="000000"/>
          <w:kern w:val="0"/>
          <w:sz w:val="20"/>
          <w:szCs w:val="20"/>
          <w:lang w:val="en-US" w:eastAsia="zh-CN"/>
        </w:rPr>
        <w:t>滑液囊支原体培养中培养阶段培养基</w:t>
      </w:r>
      <w:r>
        <w:rPr>
          <w:rFonts w:hint="eastAsia" w:ascii="宋体" w:hAnsi="宋体" w:eastAsia="宋体" w:cs="Times New Roman"/>
          <w:color w:val="000000"/>
          <w:kern w:val="0"/>
          <w:sz w:val="20"/>
          <w:szCs w:val="20"/>
          <w:lang w:val="en-US"/>
        </w:rPr>
        <w:t>的质量标准</w:t>
      </w:r>
      <w:r>
        <w:rPr>
          <w:rFonts w:hint="eastAsia" w:ascii="宋体" w:hAnsi="宋体" w:eastAsia="宋体" w:cs="Times New Roman"/>
          <w:color w:val="000000"/>
          <w:kern w:val="0"/>
          <w:sz w:val="20"/>
          <w:szCs w:val="20"/>
          <w:lang w:val="fr-FR"/>
        </w:rPr>
        <w:t>。</w:t>
      </w:r>
    </w:p>
    <w:bookmarkEnd w:id="423"/>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4" w:name="_Toc14542"/>
      <w:bookmarkStart w:id="425" w:name="_Toc20878"/>
      <w:r>
        <w:rPr>
          <w:rFonts w:hint="eastAsia" w:ascii="宋体" w:hAnsi="宋体" w:eastAsia="宋体" w:cs="Times New Roman"/>
          <w:b/>
          <w:caps/>
          <w:color w:val="000000"/>
          <w:kern w:val="28"/>
          <w:sz w:val="30"/>
          <w:szCs w:val="30"/>
          <w:lang w:val="en-US" w:eastAsia="zh-CN" w:bidi="ar-SA"/>
        </w:rPr>
        <w:t>技术规格</w:t>
      </w:r>
      <w:bookmarkEnd w:id="424"/>
      <w:bookmarkEnd w:id="425"/>
    </w:p>
    <w:p>
      <w:pPr>
        <w:widowControl/>
        <w:ind w:firstLine="400" w:firstLineChars="200"/>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URS中用户仅提出基本的质量要求，并未涵盖和限制制造商所提供的产品具有更高的制造标准。制造方的产品应满足国家有关规范和强制性标准要求。</w:t>
      </w:r>
    </w:p>
    <w:p>
      <w:pPr>
        <w:keepNext/>
        <w:numPr>
          <w:ilvl w:val="0"/>
          <w:numId w:val="0"/>
        </w:numPr>
        <w:spacing w:before="240" w:beforeLines="0" w:after="60" w:afterLines="0"/>
        <w:ind w:left="360" w:firstLine="0"/>
        <w:outlineLvl w:val="1"/>
        <w:rPr>
          <w:rFonts w:hint="eastAsia" w:ascii="宋体" w:hAnsi="宋体" w:eastAsia="宋体" w:cs="宋体"/>
          <w:b/>
          <w:kern w:val="2"/>
          <w:sz w:val="21"/>
          <w:szCs w:val="24"/>
          <w:highlight w:val="none"/>
          <w:lang w:val="en-US" w:eastAsia="zh-CN" w:bidi="ar-SA"/>
        </w:rPr>
      </w:pPr>
      <w:r>
        <w:rPr>
          <w:rFonts w:hint="eastAsia" w:ascii="Times New Roman" w:hAnsi="Times New Roman" w:eastAsia="宋体" w:cs="Times New Roman"/>
          <w:b/>
          <w:kern w:val="0"/>
          <w:sz w:val="28"/>
          <w:szCs w:val="20"/>
          <w:lang w:val="en-US" w:eastAsia="zh-CN" w:bidi="ar-SA"/>
        </w:rPr>
        <w:t>培养基</w:t>
      </w:r>
      <w:r>
        <w:rPr>
          <w:rFonts w:hint="eastAsia" w:ascii="Times New Roman" w:hAnsi="Times New Roman" w:eastAsia="宋体" w:cs="Times New Roman"/>
          <w:b/>
          <w:sz w:val="28"/>
          <w:lang w:val="en-US" w:eastAsia="zh-CN" w:bidi="ar-SA"/>
        </w:rPr>
        <w:t>质量标准</w:t>
      </w:r>
      <w:bookmarkEnd w:id="419"/>
      <w:bookmarkStart w:id="426" w:name="_Toc345051512"/>
      <w:bookmarkStart w:id="427" w:name="_Toc31996"/>
      <w:bookmarkStart w:id="428" w:name="_Toc4099"/>
      <w:bookmarkStart w:id="429" w:name="_Toc18770"/>
      <w:bookmarkStart w:id="430" w:name="_Toc14874"/>
      <w:bookmarkStart w:id="431" w:name="_Toc7699"/>
      <w:bookmarkStart w:id="432" w:name="_Toc23939"/>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包装需求</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.1.1包装规格：各组分装量均为配制100L培养基所需的量。</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.1.2标签：完整清晰的显示产品名称、批号、生产日期、有效期等信息</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.1.3包装材料：粉末组分直接接触包装材料使用铝箔纸具体要求，液体成分直接接触材料使用PP塑料瓶包装。</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.1.4各组分装箱需合理，方便出入库。</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.1.5泡沫箱及外包装材料需结实耐用，严禁出现运输过程损坏影响产品质量。</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.2、质量需求</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.2.1性状：固体组分为</w:t>
      </w:r>
      <w:r>
        <w:rPr>
          <w:rFonts w:hint="eastAsia" w:ascii="宋体" w:hAnsi="宋体" w:eastAsia="宋体" w:cs="宋体"/>
          <w:kern w:val="2"/>
          <w:sz w:val="21"/>
          <w:szCs w:val="21"/>
          <w:highlight w:val="none"/>
          <w:lang w:val="en-US" w:eastAsia="zh-CN"/>
        </w:rPr>
        <w:t>淡黄色粉末</w:t>
      </w:r>
      <w:r>
        <w:rPr>
          <w:rFonts w:hint="eastAsia" w:ascii="宋体" w:hAnsi="宋体" w:eastAsia="宋体" w:cs="宋体"/>
          <w:kern w:val="2"/>
          <w:sz w:val="21"/>
          <w:szCs w:val="21"/>
          <w:highlight w:val="none"/>
          <w:lang w:val="en-US"/>
        </w:rPr>
        <w:t>，120目通过率≥70%，液体组分为澄清</w:t>
      </w:r>
      <w:r>
        <w:rPr>
          <w:rFonts w:hint="eastAsia" w:ascii="宋体" w:hAnsi="宋体" w:eastAsia="宋体" w:cs="宋体"/>
          <w:kern w:val="2"/>
          <w:sz w:val="21"/>
          <w:szCs w:val="21"/>
          <w:highlight w:val="none"/>
          <w:lang w:val="en-US" w:eastAsia="zh-CN"/>
        </w:rPr>
        <w:t>无沉淀</w:t>
      </w:r>
      <w:r>
        <w:rPr>
          <w:rFonts w:hint="eastAsia" w:ascii="宋体" w:hAnsi="宋体" w:eastAsia="宋体" w:cs="宋体"/>
          <w:kern w:val="2"/>
          <w:sz w:val="21"/>
          <w:szCs w:val="21"/>
          <w:highlight w:val="none"/>
          <w:lang w:val="en-US"/>
        </w:rPr>
        <w:t>。</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.2.2pH值（每升标示量/L）为</w:t>
      </w:r>
      <w:r>
        <w:rPr>
          <w:rFonts w:hint="eastAsia" w:ascii="宋体" w:hAnsi="宋体" w:eastAsia="宋体" w:cs="宋体"/>
          <w:kern w:val="2"/>
          <w:sz w:val="21"/>
          <w:szCs w:val="21"/>
          <w:highlight w:val="none"/>
          <w:lang w:val="en-US" w:eastAsia="zh-CN"/>
        </w:rPr>
        <w:t>5.5</w:t>
      </w:r>
      <w:r>
        <w:rPr>
          <w:rFonts w:hint="eastAsia" w:ascii="宋体" w:hAnsi="宋体" w:eastAsia="宋体" w:cs="宋体"/>
          <w:kern w:val="2"/>
          <w:sz w:val="21"/>
          <w:szCs w:val="21"/>
          <w:highlight w:val="none"/>
          <w:lang w:val="en-US"/>
        </w:rPr>
        <w:t>~</w:t>
      </w:r>
      <w:r>
        <w:rPr>
          <w:rFonts w:hint="eastAsia" w:ascii="宋体" w:hAnsi="宋体" w:eastAsia="宋体" w:cs="宋体"/>
          <w:kern w:val="2"/>
          <w:sz w:val="21"/>
          <w:szCs w:val="21"/>
          <w:highlight w:val="none"/>
          <w:lang w:val="en-US" w:eastAsia="zh-CN"/>
        </w:rPr>
        <w:t>7.5</w:t>
      </w:r>
      <w:r>
        <w:rPr>
          <w:rFonts w:hint="eastAsia" w:ascii="宋体" w:hAnsi="宋体" w:eastAsia="宋体" w:cs="宋体"/>
          <w:kern w:val="2"/>
          <w:sz w:val="21"/>
          <w:szCs w:val="21"/>
          <w:highlight w:val="none"/>
          <w:lang w:val="en-US"/>
        </w:rPr>
        <w:t>。</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.2.3干燥减量的质量分数应≤</w:t>
      </w:r>
      <w:r>
        <w:rPr>
          <w:rFonts w:hint="eastAsia" w:ascii="宋体" w:hAnsi="宋体" w:eastAsia="宋体" w:cs="宋体"/>
          <w:kern w:val="2"/>
          <w:sz w:val="21"/>
          <w:szCs w:val="21"/>
          <w:highlight w:val="none"/>
          <w:lang w:val="en-US" w:eastAsia="zh-CN"/>
        </w:rPr>
        <w:t>6.0</w:t>
      </w:r>
      <w:r>
        <w:rPr>
          <w:rFonts w:hint="eastAsia" w:ascii="宋体" w:hAnsi="宋体" w:eastAsia="宋体" w:cs="宋体"/>
          <w:kern w:val="2"/>
          <w:sz w:val="21"/>
          <w:szCs w:val="21"/>
          <w:highlight w:val="none"/>
          <w:lang w:val="en-US"/>
        </w:rPr>
        <w:t>%。</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.2.4配制后渗透压：</w:t>
      </w:r>
      <w:r>
        <w:rPr>
          <w:rFonts w:hint="eastAsia" w:ascii="宋体" w:hAnsi="宋体" w:eastAsia="宋体" w:cs="宋体"/>
          <w:kern w:val="2"/>
          <w:sz w:val="21"/>
          <w:szCs w:val="21"/>
          <w:highlight w:val="none"/>
          <w:lang w:val="en-US" w:eastAsia="zh-CN"/>
        </w:rPr>
        <w:t>170</w:t>
      </w:r>
      <w:r>
        <w:rPr>
          <w:rFonts w:hint="eastAsia" w:ascii="宋体" w:hAnsi="宋体" w:eastAsia="宋体" w:cs="宋体"/>
          <w:kern w:val="2"/>
          <w:sz w:val="21"/>
          <w:szCs w:val="21"/>
          <w:highlight w:val="none"/>
          <w:lang w:val="en-US"/>
        </w:rPr>
        <w:t>~</w:t>
      </w:r>
      <w:r>
        <w:rPr>
          <w:rFonts w:hint="eastAsia" w:ascii="宋体" w:hAnsi="宋体" w:eastAsia="宋体" w:cs="宋体"/>
          <w:kern w:val="2"/>
          <w:sz w:val="21"/>
          <w:szCs w:val="21"/>
          <w:highlight w:val="none"/>
          <w:lang w:val="en-US" w:eastAsia="zh-CN"/>
        </w:rPr>
        <w:t>190</w:t>
      </w:r>
      <w:r>
        <w:rPr>
          <w:rFonts w:hint="eastAsia" w:ascii="宋体" w:hAnsi="宋体" w:eastAsia="宋体" w:cs="宋体"/>
          <w:kern w:val="2"/>
          <w:sz w:val="21"/>
          <w:szCs w:val="21"/>
          <w:highlight w:val="none"/>
          <w:lang w:val="en-US"/>
        </w:rPr>
        <w:t xml:space="preserve"> mOsm/kg。</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.2.5微生物限度：细菌数≤</w:t>
      </w:r>
      <w:r>
        <w:rPr>
          <w:rFonts w:hint="eastAsia" w:ascii="宋体" w:hAnsi="宋体" w:eastAsia="宋体" w:cs="宋体"/>
          <w:kern w:val="2"/>
          <w:sz w:val="21"/>
          <w:szCs w:val="21"/>
          <w:highlight w:val="none"/>
          <w:lang w:val="en-US" w:eastAsia="zh-CN"/>
        </w:rPr>
        <w:t>1000</w:t>
      </w:r>
      <w:r>
        <w:rPr>
          <w:rFonts w:hint="eastAsia" w:ascii="宋体" w:hAnsi="宋体" w:eastAsia="宋体" w:cs="宋体"/>
          <w:kern w:val="2"/>
          <w:sz w:val="21"/>
          <w:szCs w:val="21"/>
          <w:highlight w:val="none"/>
          <w:lang w:val="en-US"/>
        </w:rPr>
        <w:t xml:space="preserve"> CFU/g；霉菌数≤</w:t>
      </w:r>
      <w:r>
        <w:rPr>
          <w:rFonts w:hint="eastAsia" w:ascii="宋体" w:hAnsi="宋体" w:eastAsia="宋体" w:cs="宋体"/>
          <w:kern w:val="2"/>
          <w:sz w:val="21"/>
          <w:szCs w:val="21"/>
          <w:highlight w:val="none"/>
          <w:lang w:val="en-US" w:eastAsia="zh-CN"/>
        </w:rPr>
        <w:t>1000</w:t>
      </w:r>
      <w:r>
        <w:rPr>
          <w:rFonts w:hint="eastAsia" w:ascii="宋体" w:hAnsi="宋体" w:eastAsia="宋体" w:cs="宋体"/>
          <w:kern w:val="2"/>
          <w:sz w:val="21"/>
          <w:szCs w:val="21"/>
          <w:highlight w:val="none"/>
          <w:lang w:val="en-US"/>
        </w:rPr>
        <w:t xml:space="preserve"> CFU/g。</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.2.6</w:t>
      </w:r>
      <w:r>
        <w:rPr>
          <w:rFonts w:hint="eastAsia" w:ascii="宋体" w:hAnsi="宋体" w:eastAsia="宋体" w:cs="宋体"/>
          <w:kern w:val="2"/>
          <w:sz w:val="21"/>
          <w:szCs w:val="21"/>
          <w:highlight w:val="none"/>
          <w:lang w:val="en-US" w:eastAsia="zh-CN"/>
        </w:rPr>
        <w:t>干粉培养基配制后</w:t>
      </w:r>
      <w:r>
        <w:rPr>
          <w:rFonts w:hint="eastAsia" w:ascii="宋体" w:hAnsi="宋体" w:eastAsia="宋体" w:cs="宋体"/>
          <w:kern w:val="2"/>
          <w:sz w:val="21"/>
          <w:szCs w:val="21"/>
          <w:highlight w:val="none"/>
          <w:lang w:val="en-US"/>
        </w:rPr>
        <w:t>细菌内毒素应</w:t>
      </w:r>
      <w:r>
        <w:rPr>
          <w:rFonts w:hint="eastAsia" w:ascii="宋体" w:hAnsi="宋体" w:eastAsia="宋体" w:cs="宋体"/>
          <w:kern w:val="2"/>
          <w:sz w:val="21"/>
          <w:szCs w:val="21"/>
          <w:highlight w:val="none"/>
          <w:lang w:val="en-US" w:eastAsia="zh-CN"/>
        </w:rPr>
        <w:t>不高于</w:t>
      </w:r>
      <w:r>
        <w:rPr>
          <w:rFonts w:hint="eastAsia" w:ascii="宋体" w:hAnsi="宋体" w:eastAsia="宋体" w:cs="宋体"/>
          <w:kern w:val="2"/>
          <w:sz w:val="21"/>
          <w:szCs w:val="21"/>
          <w:highlight w:val="none"/>
          <w:lang w:val="en-US"/>
        </w:rPr>
        <w:t>10EU/ml。</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w:t>
      </w: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val="en-US"/>
        </w:rPr>
        <w:t>、</w:t>
      </w:r>
      <w:r>
        <w:rPr>
          <w:rFonts w:hint="eastAsia" w:ascii="宋体" w:hAnsi="宋体" w:eastAsia="宋体" w:cs="宋体"/>
          <w:kern w:val="2"/>
          <w:sz w:val="21"/>
          <w:szCs w:val="21"/>
          <w:highlight w:val="none"/>
          <w:lang w:val="en-US" w:eastAsia="zh-CN"/>
        </w:rPr>
        <w:t>细菌繁殖</w:t>
      </w:r>
      <w:r>
        <w:rPr>
          <w:rFonts w:hint="eastAsia" w:ascii="宋体" w:hAnsi="宋体" w:eastAsia="宋体" w:cs="宋体"/>
          <w:kern w:val="2"/>
          <w:sz w:val="21"/>
          <w:szCs w:val="21"/>
          <w:highlight w:val="none"/>
          <w:lang w:val="en-US"/>
        </w:rPr>
        <w:t>试验</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rPr>
        <w:t>在相同条件下，</w:t>
      </w:r>
      <w:r>
        <w:rPr>
          <w:rFonts w:hint="eastAsia" w:ascii="宋体" w:hAnsi="宋体" w:eastAsia="宋体" w:cs="宋体"/>
          <w:kern w:val="2"/>
          <w:sz w:val="21"/>
          <w:szCs w:val="21"/>
          <w:highlight w:val="none"/>
          <w:lang w:val="en-US" w:eastAsia="zh-CN"/>
        </w:rPr>
        <w:t>细菌繁殖</w:t>
      </w:r>
      <w:r>
        <w:rPr>
          <w:rFonts w:hint="eastAsia" w:ascii="宋体" w:hAnsi="宋体" w:eastAsia="宋体" w:cs="宋体"/>
          <w:kern w:val="2"/>
          <w:sz w:val="21"/>
          <w:szCs w:val="21"/>
          <w:highlight w:val="none"/>
          <w:lang w:val="en-US"/>
        </w:rPr>
        <w:t>量需不低于对照培养基</w:t>
      </w:r>
      <w:r>
        <w:rPr>
          <w:rFonts w:hint="eastAsia" w:ascii="宋体" w:hAnsi="宋体" w:eastAsia="宋体" w:cs="宋体"/>
          <w:kern w:val="2"/>
          <w:sz w:val="21"/>
          <w:szCs w:val="21"/>
          <w:highlight w:val="none"/>
          <w:lang w:val="en-US" w:eastAsia="zh-CN"/>
        </w:rPr>
        <w:t>细菌繁殖</w:t>
      </w:r>
      <w:r>
        <w:rPr>
          <w:rFonts w:hint="eastAsia" w:ascii="宋体" w:hAnsi="宋体" w:eastAsia="宋体" w:cs="宋体"/>
          <w:kern w:val="2"/>
          <w:sz w:val="21"/>
          <w:szCs w:val="21"/>
          <w:highlight w:val="none"/>
          <w:lang w:val="en-US"/>
        </w:rPr>
        <w:t>量，且</w:t>
      </w:r>
      <w:r>
        <w:rPr>
          <w:rFonts w:hint="eastAsia" w:ascii="宋体" w:hAnsi="宋体" w:eastAsia="宋体" w:cs="宋体"/>
          <w:kern w:val="2"/>
          <w:sz w:val="21"/>
          <w:szCs w:val="21"/>
          <w:highlight w:val="none"/>
          <w:lang w:val="en-US" w:eastAsia="zh-CN"/>
        </w:rPr>
        <w:t>效价及细菌增殖</w:t>
      </w:r>
      <w:r>
        <w:rPr>
          <w:rFonts w:hint="eastAsia" w:ascii="宋体" w:hAnsi="宋体" w:eastAsia="宋体" w:cs="宋体"/>
          <w:kern w:val="2"/>
          <w:sz w:val="21"/>
          <w:szCs w:val="21"/>
          <w:highlight w:val="none"/>
          <w:lang w:val="en-US"/>
        </w:rPr>
        <w:t>符合公司内控质量标准。</w:t>
      </w:r>
    </w:p>
    <w:bookmarkEnd w:id="426"/>
    <w:bookmarkEnd w:id="427"/>
    <w:bookmarkEnd w:id="428"/>
    <w:bookmarkEnd w:id="429"/>
    <w:bookmarkEnd w:id="430"/>
    <w:bookmarkEnd w:id="431"/>
    <w:bookmarkEnd w:id="432"/>
    <w:p>
      <w:pPr>
        <w:keepNext/>
        <w:numPr>
          <w:ilvl w:val="1"/>
          <w:numId w:val="15"/>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US" w:eastAsia="zh-CN" w:bidi="ar-SA"/>
        </w:rPr>
        <w:t>收货标准</w:t>
      </w:r>
    </w:p>
    <w:p>
      <w:pPr>
        <w:keepNext/>
        <w:numPr>
          <w:ilvl w:val="2"/>
          <w:numId w:val="15"/>
        </w:numPr>
        <w:spacing w:before="240" w:beforeLines="0" w:after="60" w:afterLines="0"/>
        <w:outlineLvl w:val="2"/>
        <w:rPr>
          <w:rFonts w:hint="eastAsia" w:ascii="宋体" w:hAnsi="宋体" w:eastAsia="宋体" w:cs="宋体"/>
          <w:i w:val="0"/>
          <w:kern w:val="2"/>
          <w:sz w:val="21"/>
          <w:szCs w:val="21"/>
          <w:highlight w:val="none"/>
          <w:lang w:val="en-US" w:eastAsia="zh-CN" w:bidi="ar-SA"/>
        </w:rPr>
      </w:pPr>
      <w:r>
        <w:rPr>
          <w:rFonts w:hint="eastAsia" w:ascii="宋体" w:hAnsi="宋体" w:eastAsia="宋体" w:cs="宋体"/>
          <w:i w:val="0"/>
          <w:kern w:val="2"/>
          <w:sz w:val="21"/>
          <w:szCs w:val="21"/>
          <w:highlight w:val="none"/>
          <w:lang w:val="en-US" w:eastAsia="zh-CN" w:bidi="ar-SA"/>
        </w:rPr>
        <w:t>如有破损，剔除破损数量，按实际收货数量计算。</w:t>
      </w:r>
    </w:p>
    <w:p>
      <w:pPr>
        <w:keepNext/>
        <w:numPr>
          <w:ilvl w:val="2"/>
          <w:numId w:val="15"/>
        </w:numPr>
        <w:spacing w:before="240" w:beforeLines="0" w:after="60" w:afterLines="0"/>
        <w:outlineLvl w:val="2"/>
        <w:rPr>
          <w:rFonts w:hint="eastAsia" w:ascii="宋体" w:hAnsi="宋体" w:eastAsia="宋体" w:cs="宋体"/>
          <w:i w:val="0"/>
          <w:kern w:val="2"/>
          <w:sz w:val="21"/>
          <w:szCs w:val="21"/>
          <w:highlight w:val="none"/>
          <w:lang w:val="en-US" w:eastAsia="zh-CN" w:bidi="ar-SA"/>
        </w:rPr>
      </w:pPr>
      <w:r>
        <w:rPr>
          <w:rFonts w:hint="eastAsia" w:ascii="宋体" w:hAnsi="宋体" w:eastAsia="宋体" w:cs="宋体"/>
          <w:i w:val="0"/>
          <w:kern w:val="2"/>
          <w:sz w:val="21"/>
          <w:szCs w:val="21"/>
          <w:highlight w:val="none"/>
          <w:lang w:val="en-US" w:eastAsia="zh-CN" w:bidi="ar-SA"/>
        </w:rPr>
        <w:t>同一次供货，对于同一品种、同一规格、同一剂型的，供应商应提供同一批号的产品，若因特殊原因不能满足要求，须提前与采购方协商解决，否则采购方拒收。</w:t>
      </w:r>
    </w:p>
    <w:p>
      <w:pPr>
        <w:keepNext/>
        <w:numPr>
          <w:ilvl w:val="2"/>
          <w:numId w:val="15"/>
        </w:numPr>
        <w:spacing w:before="240" w:beforeLines="0" w:after="60" w:afterLines="0"/>
        <w:outlineLvl w:val="2"/>
        <w:rPr>
          <w:rFonts w:hint="eastAsia" w:ascii="宋体" w:hAnsi="宋体" w:eastAsia="宋体" w:cs="宋体"/>
          <w:i w:val="0"/>
          <w:kern w:val="2"/>
          <w:sz w:val="21"/>
          <w:szCs w:val="21"/>
          <w:highlight w:val="none"/>
          <w:lang w:val="en-US" w:eastAsia="zh-CN" w:bidi="ar-SA"/>
        </w:rPr>
      </w:pPr>
      <w:r>
        <w:rPr>
          <w:rFonts w:hint="eastAsia" w:ascii="宋体" w:hAnsi="宋体" w:eastAsia="宋体" w:cs="宋体"/>
          <w:i w:val="0"/>
          <w:kern w:val="2"/>
          <w:sz w:val="21"/>
          <w:szCs w:val="21"/>
          <w:highlight w:val="none"/>
          <w:lang w:val="en-US" w:eastAsia="zh-CN" w:bidi="ar-SA"/>
        </w:rPr>
        <w:t>因产品的特殊性，成交供应商所供产品小试三批，每批产品不低于100L培养基，若小试不合格，对试用培养基不予结算且有权退回该批次产品。</w:t>
      </w:r>
    </w:p>
    <w:p>
      <w:pPr>
        <w:bidi w:val="0"/>
        <w:rPr>
          <w:rFonts w:hint="eastAsia" w:ascii="Times New Roman" w:hAnsi="Times New Roman" w:eastAsia="宋体" w:cs="Times New Roman"/>
          <w:kern w:val="2"/>
          <w:sz w:val="21"/>
          <w:szCs w:val="24"/>
          <w:lang w:val="en-US" w:eastAsia="zh-CN" w:bidi="ar-SA"/>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4"/>
  </w:num>
  <w:num w:numId="5">
    <w:abstractNumId w:val="2"/>
  </w:num>
  <w:num w:numId="6">
    <w:abstractNumId w:val="13"/>
  </w:num>
  <w:num w:numId="7">
    <w:abstractNumId w:val="10"/>
  </w:num>
  <w:num w:numId="8">
    <w:abstractNumId w:val="5"/>
  </w:num>
  <w:num w:numId="9">
    <w:abstractNumId w:val="0"/>
  </w:num>
  <w:num w:numId="10">
    <w:abstractNumId w:val="11"/>
  </w:num>
  <w:num w:numId="11">
    <w:abstractNumId w:val="9"/>
  </w:num>
  <w:num w:numId="12">
    <w:abstractNumId w:val="12"/>
  </w:num>
  <w:num w:numId="13">
    <w:abstractNumId w:val="6"/>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562759"/>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61539CC"/>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9F1E59"/>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200F8"/>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DB666F6"/>
    <w:rsid w:val="5E284D12"/>
    <w:rsid w:val="5F042803"/>
    <w:rsid w:val="5F5D6BEB"/>
    <w:rsid w:val="5FAD636F"/>
    <w:rsid w:val="600B149F"/>
    <w:rsid w:val="61994029"/>
    <w:rsid w:val="61EA2C17"/>
    <w:rsid w:val="61F6744C"/>
    <w:rsid w:val="62662A93"/>
    <w:rsid w:val="635D0E7E"/>
    <w:rsid w:val="63827325"/>
    <w:rsid w:val="639F5962"/>
    <w:rsid w:val="63DF6A68"/>
    <w:rsid w:val="64BC1D3B"/>
    <w:rsid w:val="64E01543"/>
    <w:rsid w:val="65130267"/>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10247</Words>
  <Characters>10842</Characters>
  <Lines>243</Lines>
  <Paragraphs>68</Paragraphs>
  <TotalTime>3</TotalTime>
  <ScaleCrop>false</ScaleCrop>
  <LinksUpToDate>false</LinksUpToDate>
  <CharactersWithSpaces>11345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2025-11-25T00:12:49Z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