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44974478"/>
      <w:bookmarkStart w:id="1" w:name="_Toc152042286"/>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WKZB-2026-019</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SPF鸡饲料</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六年九</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9</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10</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12</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13</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15</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16</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17</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18</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19</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20</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21</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22</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23</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24</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25</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26</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27</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29</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SPF鸡饲料</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WKZB-2026-019</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SPF鸡饲料</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SPF鸡饲料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采购框架协议，分批送货，采购数量以每次订单为准</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SPF鸡饲料</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23826"/>
      <w:bookmarkStart w:id="16" w:name="_Toc1963"/>
      <w:bookmarkStart w:id="17" w:name="_Toc1584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SPF鸡饲料</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5</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792157C6">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28425"/>
      <w:bookmarkStart w:id="24" w:name="_Toc6081"/>
      <w:bookmarkStart w:id="25" w:name="_Toc23490"/>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21387"/>
      <w:bookmarkStart w:id="27" w:name="_Toc11141"/>
      <w:bookmarkStart w:id="28" w:name="_Toc7374"/>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商-入围SPF鸡饲料项目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9223"/>
      <w:bookmarkStart w:id="36" w:name="_Toc390940505"/>
      <w:bookmarkStart w:id="37" w:name="_Toc233102490"/>
      <w:bookmarkStart w:id="38" w:name="_Toc109736026"/>
      <w:bookmarkStart w:id="39" w:name="_Toc152042303"/>
      <w:bookmarkStart w:id="40" w:name="_Toc179632544"/>
      <w:bookmarkStart w:id="41" w:name="_Toc144974495"/>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54ABF3B7">
            <w:pPr>
              <w:spacing w:line="320" w:lineRule="exact"/>
              <w:rPr>
                <w:rFonts w:hint="default" w:eastAsia="宋体"/>
                <w:highlight w:val="none"/>
                <w:lang w:val="en-US" w:eastAsia="zh-CN"/>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根据采购公告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09736068"/>
      <w:bookmarkStart w:id="44" w:name="_Toc415222523"/>
      <w:bookmarkStart w:id="45" w:name="_Toc1671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216582813"/>
      <w:bookmarkStart w:id="51" w:name="_Toc109736069"/>
      <w:bookmarkStart w:id="52" w:name="_Toc415222524"/>
      <w:bookmarkStart w:id="53" w:name="_Toc30412"/>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5938"/>
      <w:bookmarkEnd w:id="55"/>
      <w:bookmarkStart w:id="56" w:name="_Hlt520356243"/>
      <w:bookmarkEnd w:id="56"/>
      <w:bookmarkStart w:id="57" w:name="_Toc109736070"/>
      <w:bookmarkStart w:id="58" w:name="_Toc480942350"/>
      <w:bookmarkStart w:id="59" w:name="_Ref467988705"/>
      <w:bookmarkStart w:id="60" w:name="_Toc19517"/>
      <w:bookmarkStart w:id="61" w:name="_Toc520356218"/>
      <w:bookmarkStart w:id="62" w:name="_Toc216582814"/>
      <w:bookmarkStart w:id="63" w:name="_Toc415222525"/>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SPF鸡饲料</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WKZB-2026-019</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7C51A5DB">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2391"/>
        <w:gridCol w:w="3488"/>
        <w:gridCol w:w="1569"/>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46" w:type="pct"/>
            <w:vAlign w:val="center"/>
          </w:tcPr>
          <w:p w14:paraId="2B9C5326">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物料名称</w:t>
            </w:r>
          </w:p>
        </w:tc>
        <w:tc>
          <w:tcPr>
            <w:tcW w:w="1237"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包装规格</w:t>
            </w:r>
          </w:p>
        </w:tc>
        <w:tc>
          <w:tcPr>
            <w:tcW w:w="1805" w:type="pct"/>
            <w:vAlign w:val="center"/>
          </w:tcPr>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元/KG</w:t>
            </w:r>
            <w:r>
              <w:rPr>
                <w:rFonts w:hint="eastAsia" w:ascii="仿宋" w:hAnsi="仿宋" w:eastAsia="仿宋" w:cs="仿宋"/>
                <w:sz w:val="24"/>
                <w:highlight w:val="none"/>
              </w:rPr>
              <w:t>）</w:t>
            </w:r>
          </w:p>
        </w:tc>
        <w:tc>
          <w:tcPr>
            <w:tcW w:w="810" w:type="pct"/>
            <w:vAlign w:val="center"/>
          </w:tcPr>
          <w:p w14:paraId="32B39F3B">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46" w:type="pct"/>
            <w:tcBorders>
              <w:bottom w:val="single" w:color="auto" w:sz="4" w:space="0"/>
              <w:right w:val="single" w:color="auto" w:sz="4" w:space="0"/>
            </w:tcBorders>
            <w:vAlign w:val="center"/>
          </w:tcPr>
          <w:p w14:paraId="71FFFB7A">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SPF鸡饲料</w:t>
            </w:r>
          </w:p>
        </w:tc>
        <w:tc>
          <w:tcPr>
            <w:tcW w:w="1237"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bottom"/>
              <w:rPr>
                <w:rFonts w:hint="default" w:ascii="仿宋" w:hAnsi="仿宋" w:eastAsia="仿宋" w:cs="仿宋"/>
                <w:sz w:val="24"/>
                <w:highlight w:val="none"/>
                <w:lang w:val="en-US" w:eastAsia="zh-CN"/>
              </w:rPr>
            </w:pPr>
          </w:p>
        </w:tc>
        <w:tc>
          <w:tcPr>
            <w:tcW w:w="1805" w:type="pct"/>
            <w:tcBorders>
              <w:left w:val="single" w:color="auto" w:sz="4" w:space="0"/>
              <w:bottom w:val="single" w:color="auto" w:sz="4" w:space="0"/>
              <w:right w:val="single" w:color="auto" w:sz="4" w:space="0"/>
            </w:tcBorders>
            <w:vAlign w:val="center"/>
          </w:tcPr>
          <w:p w14:paraId="5EC2FADC">
            <w:pPr>
              <w:keepNext w:val="0"/>
              <w:keepLines w:val="0"/>
              <w:widowControl/>
              <w:suppressLineNumbers w:val="0"/>
              <w:jc w:val="center"/>
              <w:textAlignment w:val="center"/>
              <w:rPr>
                <w:rFonts w:ascii="仿宋" w:hAnsi="仿宋" w:eastAsia="仿宋" w:cs="仿宋"/>
                <w:sz w:val="24"/>
                <w:highlight w:val="none"/>
              </w:rPr>
            </w:pPr>
          </w:p>
        </w:tc>
        <w:tc>
          <w:tcPr>
            <w:tcW w:w="810"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根据采购订单分批送货</w:t>
            </w:r>
          </w:p>
        </w:tc>
      </w:tr>
      <w:tr w14:paraId="47B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14:paraId="4AB5283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3853" w:type="pct"/>
            <w:gridSpan w:val="3"/>
            <w:tcBorders>
              <w:left w:val="single" w:color="auto" w:sz="4" w:space="0"/>
              <w:bottom w:val="single" w:color="auto" w:sz="4" w:space="0"/>
            </w:tcBorders>
            <w:vAlign w:val="center"/>
          </w:tcPr>
          <w:p w14:paraId="6A6F2FDC">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p w14:paraId="573929A8">
            <w:pPr>
              <w:spacing w:line="380" w:lineRule="exact"/>
              <w:jc w:val="center"/>
              <w:rPr>
                <w:rFonts w:hint="default" w:ascii="仿宋" w:hAnsi="仿宋" w:eastAsia="仿宋" w:cs="仿宋"/>
                <w:sz w:val="24"/>
                <w:highlight w:val="none"/>
                <w:lang w:val="en-US" w:eastAsia="zh-CN"/>
              </w:rPr>
            </w:pPr>
            <w:r>
              <w:rPr>
                <w:rFonts w:hint="eastAsia" w:hAnsi="宋体"/>
                <w:b w:val="0"/>
                <w:bCs w:val="0"/>
                <w:szCs w:val="21"/>
                <w:highlight w:val="none"/>
                <w:lang w:val="en-US" w:eastAsia="zh-CN"/>
              </w:rPr>
              <w:t>说明：供货期是指订单下达到商品运送指定地点的日期</w:t>
            </w:r>
          </w:p>
        </w:tc>
      </w:tr>
      <w:tr w14:paraId="2F7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14:paraId="02E9C5FA">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3853" w:type="pct"/>
            <w:gridSpan w:val="3"/>
            <w:tcBorders>
              <w:left w:val="single" w:color="auto" w:sz="4" w:space="0"/>
              <w:bottom w:val="single" w:color="auto" w:sz="4" w:space="0"/>
            </w:tcBorders>
            <w:vAlign w:val="center"/>
          </w:tcPr>
          <w:p w14:paraId="17D6C21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4"/>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1年，按照合同约定供货并保证质量</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4"/>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415222529"/>
      <w:bookmarkStart w:id="65" w:name="_Toc216582818"/>
      <w:bookmarkStart w:id="66" w:name="_Toc109736072"/>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SPF鸡饲料</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WKZB-2026-019</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付款方式：货物验收合格后开具增值税专用发票，三个月后付款，可接受50%银行承兑汇票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供货期：5个日历天。</w:t>
            </w:r>
          </w:p>
          <w:p w14:paraId="00782A07">
            <w:pPr>
              <w:spacing w:before="120" w:line="360" w:lineRule="exact"/>
              <w:jc w:val="both"/>
              <w:rPr>
                <w:rFonts w:hint="default" w:ascii="宋体" w:hAnsi="宋体" w:cs="Times New Roman"/>
                <w:kern w:val="2"/>
                <w:sz w:val="21"/>
                <w:szCs w:val="21"/>
                <w:highlight w:val="none"/>
                <w:lang w:val="en-US" w:eastAsia="zh-CN" w:bidi="ar-SA"/>
              </w:rPr>
            </w:pPr>
            <w:r>
              <w:rPr>
                <w:rFonts w:hint="eastAsia" w:hAnsi="宋体"/>
                <w:b w:val="0"/>
                <w:bCs w:val="0"/>
                <w:szCs w:val="21"/>
                <w:highlight w:val="none"/>
                <w:lang w:val="en-US" w:eastAsia="zh-CN"/>
              </w:rPr>
              <w:t>说明：供货期是指订单下达到商品运送指定地点的日期</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109736073"/>
      <w:bookmarkStart w:id="70" w:name="_Toc415222528"/>
      <w:bookmarkStart w:id="71" w:name="_Toc216582817"/>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SPF鸡饲料</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WKZB-2026-019</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Toc480942355"/>
      <w:bookmarkStart w:id="74" w:name="_Ref467988543"/>
      <w:bookmarkStart w:id="75" w:name="_Toc520356224"/>
      <w:bookmarkStart w:id="76" w:name="_Toc415222530"/>
      <w:bookmarkStart w:id="77" w:name="_Toc109736074"/>
      <w:bookmarkStart w:id="78" w:name="_Toc216582819"/>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273973"/>
      <w:bookmarkEnd w:id="82"/>
      <w:bookmarkStart w:id="83" w:name="_Hlt520343000"/>
      <w:bookmarkEnd w:id="83"/>
      <w:bookmarkStart w:id="84" w:name="_Hlt520271212"/>
      <w:bookmarkEnd w:id="84"/>
      <w:bookmarkStart w:id="85" w:name="_Hlt520350918"/>
      <w:bookmarkEnd w:id="85"/>
      <w:bookmarkStart w:id="86" w:name="_Hlt520343392"/>
      <w:bookmarkEnd w:id="86"/>
      <w:bookmarkStart w:id="87" w:name="_Hlt520274121"/>
      <w:bookmarkEnd w:id="87"/>
      <w:bookmarkStart w:id="88" w:name="_Hlt520350957"/>
      <w:bookmarkEnd w:id="88"/>
      <w:bookmarkStart w:id="89" w:name="_Hlt520274407"/>
      <w:bookmarkEnd w:id="89"/>
      <w:bookmarkStart w:id="90" w:name="_Hlt520274065"/>
      <w:bookmarkEnd w:id="90"/>
      <w:bookmarkStart w:id="91" w:name="_Hlt520274393"/>
      <w:bookmarkEnd w:id="91"/>
      <w:bookmarkStart w:id="92" w:name="_Hlt520273711"/>
      <w:bookmarkEnd w:id="92"/>
      <w:bookmarkStart w:id="93" w:name="_Toc480942358"/>
      <w:bookmarkStart w:id="94" w:name="_Ref467990101"/>
      <w:bookmarkStart w:id="95" w:name="_Toc520356229"/>
      <w:bookmarkStart w:id="96" w:name="_Toc520125061"/>
      <w:bookmarkStart w:id="97" w:name="_Ref467990100"/>
      <w:bookmarkStart w:id="98" w:name="_Ref467988471"/>
      <w:bookmarkStart w:id="99" w:name="_Toc520125062"/>
      <w:bookmarkStart w:id="100" w:name="_Ref467990064"/>
      <w:bookmarkStart w:id="101" w:name="_Toc520356228"/>
      <w:bookmarkStart w:id="102" w:name="_Ref467990058"/>
      <w:bookmarkStart w:id="103" w:name="_Ref467988479"/>
      <w:bookmarkStart w:id="104" w:name="_Ref467988485"/>
      <w:bookmarkStart w:id="105" w:name="_Toc480942357"/>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574989D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eastAsia="宋体"/>
          <w:color w:val="FF0000"/>
          <w:szCs w:val="21"/>
          <w:highlight w:val="none"/>
          <w:lang w:val="en-US" w:eastAsia="zh-CN"/>
        </w:rPr>
      </w:pPr>
      <w:r>
        <w:rPr>
          <w:rFonts w:hint="eastAsia" w:ascii="宋体" w:hAnsi="宋体"/>
          <w:color w:val="FF0000"/>
          <w:szCs w:val="21"/>
          <w:highlight w:val="none"/>
          <w:lang w:val="en-US" w:eastAsia="zh-CN"/>
        </w:rPr>
        <w:t>如未经</w:t>
      </w:r>
      <w:r>
        <w:rPr>
          <w:rFonts w:hint="eastAsia" w:ascii="宋体" w:hAnsi="宋体"/>
          <w:color w:val="FF0000"/>
          <w:szCs w:val="21"/>
          <w:highlight w:val="none"/>
        </w:rPr>
        <w:t>会计师事务</w:t>
      </w:r>
      <w:r>
        <w:rPr>
          <w:rFonts w:hint="eastAsia" w:ascii="宋体" w:hAnsi="宋体"/>
          <w:color w:val="FF0000"/>
          <w:szCs w:val="21"/>
          <w:highlight w:val="none"/>
          <w:lang w:val="en-US" w:eastAsia="zh-CN"/>
        </w:rPr>
        <w:t>审计，可提供公司盖章的财务报表，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77685377"/>
      <w:bookmarkStart w:id="112" w:name="_Toc19882"/>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SPF鸡饲料</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WKZB-2026-019</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8935355"/>
      <w:bookmarkStart w:id="118" w:name="_Toc220229434"/>
      <w:bookmarkStart w:id="119" w:name="_Toc219175639"/>
      <w:bookmarkStart w:id="120" w:name="_Toc216582826"/>
      <w:bookmarkStart w:id="121" w:name="_Toc109736075"/>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5"/>
        <w:gridCol w:w="2335"/>
        <w:gridCol w:w="4473"/>
        <w:gridCol w:w="1274"/>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49"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4"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49"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4"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根据投标人生产、供应能力、及企业资质情况，最高得5分，第二名得3分，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4"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r>
              <w:rPr>
                <w:rFonts w:hint="eastAsia" w:ascii="微软雅黑" w:hAnsi="微软雅黑" w:eastAsia="微软雅黑" w:cs="微软雅黑"/>
                <w:i w:val="0"/>
                <w:iCs w:val="0"/>
                <w:color w:val="000000"/>
                <w:sz w:val="21"/>
                <w:szCs w:val="21"/>
                <w:highlight w:val="none"/>
                <w:u w:val="none"/>
                <w:lang w:val="en-US" w:eastAsia="zh-CN"/>
              </w:rPr>
              <w:t>最低为2分。</w:t>
            </w:r>
          </w:p>
        </w:tc>
        <w:tc>
          <w:tcPr>
            <w:tcW w:w="684" w:type="pct"/>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49"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商务条款响应情况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根据对商务条款的响应，最优得3分，第二得2分，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4"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B4F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根据投标货物近三年在中国境内向同行业供货同类产品的销售业绩情况，每一项类似业绩得1分，最高得4分（须提供项目合同等相关证明材料）。</w:t>
            </w:r>
          </w:p>
          <w:p w14:paraId="675B5D0D">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sz w:val="21"/>
                <w:szCs w:val="21"/>
                <w:highlight w:val="none"/>
                <w:u w:val="none"/>
              </w:rPr>
              <w:t>未提供或不能满足本项目需求得0分。</w:t>
            </w:r>
          </w:p>
        </w:tc>
        <w:tc>
          <w:tcPr>
            <w:tcW w:w="684"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4</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CAD68">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w:t>
            </w:r>
            <w:r>
              <w:rPr>
                <w:rFonts w:hint="eastAsia" w:ascii="微软雅黑" w:hAnsi="微软雅黑" w:eastAsia="微软雅黑" w:cs="微软雅黑"/>
                <w:i w:val="0"/>
                <w:iCs w:val="0"/>
                <w:color w:val="000000"/>
                <w:sz w:val="21"/>
                <w:szCs w:val="21"/>
                <w:highlight w:val="none"/>
                <w:u w:val="none"/>
                <w:lang w:eastAsia="zh-CN"/>
              </w:rPr>
              <w:t>。</w:t>
            </w:r>
          </w:p>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未提供或不能满足本项目需求得0分。</w:t>
            </w:r>
          </w:p>
        </w:tc>
        <w:tc>
          <w:tcPr>
            <w:tcW w:w="684"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49"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4"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49"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4"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7539D8A7">
      <w:pPr>
        <w:keepNext/>
        <w:numPr>
          <w:ilvl w:val="0"/>
          <w:numId w:val="11"/>
        </w:numPr>
        <w:spacing w:before="240" w:after="60"/>
        <w:jc w:val="both"/>
        <w:outlineLvl w:val="0"/>
        <w:rPr>
          <w:rFonts w:hint="eastAsia" w:ascii="Times New Roman" w:hAnsi="Times New Roman" w:eastAsia="宋体" w:cs="Times New Roman"/>
          <w:b/>
          <w:caps w:val="0"/>
          <w:kern w:val="28"/>
          <w:sz w:val="30"/>
          <w:lang w:val="fr-FR" w:eastAsia="zh-CN" w:bidi="ar-SA"/>
        </w:rPr>
      </w:pPr>
      <w:r>
        <w:rPr>
          <w:rFonts w:hint="eastAsia" w:ascii="Times New Roman" w:hAnsi="Times New Roman" w:eastAsia="宋体" w:cs="Times New Roman"/>
          <w:b/>
          <w:caps w:val="0"/>
          <w:kern w:val="28"/>
          <w:sz w:val="30"/>
          <w:lang w:val="fr-FR" w:eastAsia="zh-CN" w:bidi="ar-SA"/>
        </w:rPr>
        <w:t>目的</w:t>
      </w:r>
    </w:p>
    <w:p w14:paraId="27DB23C5">
      <w:pPr>
        <w:widowControl/>
        <w:jc w:val="left"/>
        <w:rPr>
          <w:rFonts w:hint="default" w:ascii="Times New Roman" w:hAnsi="Times New Roman" w:eastAsia="宋体" w:cs="Times New Roman"/>
          <w:kern w:val="0"/>
          <w:sz w:val="20"/>
          <w:szCs w:val="20"/>
          <w:highlight w:val="none"/>
          <w:lang w:val="en-US"/>
        </w:rPr>
      </w:pPr>
      <w:r>
        <w:rPr>
          <w:rFonts w:hint="eastAsia" w:ascii="Times New Roman" w:hAnsi="Times New Roman" w:eastAsia="宋体" w:cs="Times New Roman"/>
          <w:kern w:val="0"/>
          <w:sz w:val="20"/>
          <w:szCs w:val="20"/>
          <w:lang w:val="en-US" w:eastAsia="zh-CN"/>
        </w:rPr>
        <w:t>本</w:t>
      </w:r>
      <w:r>
        <w:rPr>
          <w:rFonts w:hint="eastAsia" w:ascii="Times New Roman" w:hAnsi="Times New Roman" w:eastAsia="宋体" w:cs="Times New Roman"/>
          <w:kern w:val="0"/>
          <w:sz w:val="20"/>
          <w:szCs w:val="20"/>
          <w:highlight w:val="none"/>
          <w:lang w:val="en-US" w:eastAsia="zh-CN"/>
        </w:rPr>
        <w:t>用户需求标准文件明确了我司对SPF鸡饲料的质量及技术要求，以及对其运输和包装材料选择等的期望，作为供方供货标准的依据。</w:t>
      </w:r>
    </w:p>
    <w:p w14:paraId="20DABB75">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28" w:name="_Toc6166"/>
      <w:bookmarkStart w:id="129" w:name="_Toc28598"/>
      <w:bookmarkStart w:id="130" w:name="_Toc31114"/>
      <w:r>
        <w:rPr>
          <w:rFonts w:hint="eastAsia" w:ascii="Times New Roman" w:hAnsi="Times New Roman" w:eastAsia="宋体" w:cs="Times New Roman"/>
          <w:b/>
          <w:caps/>
          <w:kern w:val="28"/>
          <w:sz w:val="30"/>
          <w:lang w:val="en-US" w:eastAsia="zh-CN" w:bidi="ar-SA"/>
        </w:rPr>
        <w:t>范围</w:t>
      </w:r>
      <w:bookmarkEnd w:id="128"/>
      <w:bookmarkEnd w:id="129"/>
      <w:bookmarkEnd w:id="130"/>
    </w:p>
    <w:p w14:paraId="09AE30DE">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US" w:eastAsia="zh-CN"/>
        </w:rPr>
        <w:t>选购的SPF鸡饲料</w:t>
      </w:r>
      <w:r>
        <w:rPr>
          <w:rFonts w:hint="eastAsia" w:ascii="Times New Roman" w:hAnsi="Times New Roman" w:eastAsia="宋体" w:cs="Times New Roman"/>
          <w:kern w:val="0"/>
          <w:sz w:val="20"/>
          <w:szCs w:val="20"/>
          <w:lang w:val="fr-FR"/>
        </w:rPr>
        <w:t>用于我司质检系统</w:t>
      </w:r>
      <w:r>
        <w:rPr>
          <w:rFonts w:hint="eastAsia" w:ascii="Times New Roman" w:hAnsi="Times New Roman" w:eastAsia="宋体" w:cs="Times New Roman"/>
          <w:kern w:val="0"/>
          <w:sz w:val="20"/>
          <w:szCs w:val="20"/>
          <w:lang w:val="en-US" w:eastAsia="zh-CN"/>
        </w:rPr>
        <w:t>使用的SPF鸡的饲育。</w:t>
      </w:r>
    </w:p>
    <w:p w14:paraId="6D86F797">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1" w:name="_Toc26852"/>
      <w:bookmarkStart w:id="132" w:name="_Toc13692"/>
      <w:bookmarkStart w:id="133" w:name="_Toc8349"/>
      <w:r>
        <w:rPr>
          <w:rFonts w:hint="eastAsia" w:ascii="Times New Roman" w:hAnsi="Times New Roman" w:eastAsia="宋体" w:cs="Times New Roman"/>
          <w:b/>
          <w:caps/>
          <w:kern w:val="28"/>
          <w:sz w:val="30"/>
          <w:lang w:val="fr-FR" w:eastAsia="zh-CN" w:bidi="ar-SA"/>
        </w:rPr>
        <w:t>定义和缩略语</w:t>
      </w:r>
      <w:bookmarkEnd w:id="131"/>
      <w:bookmarkEnd w:id="132"/>
      <w:bookmarkEnd w:id="133"/>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14:paraId="20EE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14:paraId="36101383">
            <w:pPr>
              <w:widowControl/>
              <w:jc w:val="center"/>
              <w:rPr>
                <w:rFonts w:hint="eastAsia" w:ascii="Times New Roman" w:hAnsi="Times New Roman" w:eastAsia="宋体" w:cs="Times New Roman"/>
                <w:b/>
                <w:kern w:val="0"/>
                <w:sz w:val="20"/>
                <w:szCs w:val="20"/>
                <w:lang w:val="fr-FR"/>
              </w:rPr>
            </w:pPr>
            <w:bookmarkStart w:id="134" w:name="_Toc18809"/>
            <w:r>
              <w:rPr>
                <w:rFonts w:ascii="Times New Roman" w:hAnsi="Times New Roman" w:eastAsia="宋体" w:cs="Times New Roman"/>
                <w:b/>
                <w:kern w:val="0"/>
                <w:sz w:val="20"/>
                <w:szCs w:val="20"/>
                <w:lang w:val="fr-FR"/>
              </w:rPr>
              <w:t>缩略语</w:t>
            </w:r>
            <w:r>
              <w:rPr>
                <w:rFonts w:hint="eastAsia" w:ascii="Times New Roman" w:hAnsi="Times New Roman" w:eastAsia="宋体" w:cs="Times New Roman"/>
                <w:b/>
                <w:kern w:val="0"/>
                <w:sz w:val="20"/>
                <w:szCs w:val="20"/>
                <w:lang w:val="fr-FR"/>
              </w:rPr>
              <w:t>/术语</w:t>
            </w:r>
          </w:p>
        </w:tc>
        <w:tc>
          <w:tcPr>
            <w:tcW w:w="7205" w:type="dxa"/>
            <w:noWrap w:val="0"/>
            <w:vAlign w:val="center"/>
          </w:tcPr>
          <w:p w14:paraId="118CDAFC">
            <w:pPr>
              <w:widowControl/>
              <w:jc w:val="center"/>
              <w:rPr>
                <w:rFonts w:ascii="Times New Roman" w:hAnsi="Times New Roman" w:eastAsia="宋体" w:cs="Times New Roman"/>
                <w:b/>
                <w:kern w:val="0"/>
                <w:sz w:val="20"/>
                <w:szCs w:val="20"/>
                <w:lang w:val="fr-FR"/>
              </w:rPr>
            </w:pPr>
            <w:r>
              <w:rPr>
                <w:rFonts w:ascii="Times New Roman" w:hAnsi="Times New Roman" w:eastAsia="宋体" w:cs="Times New Roman"/>
                <w:b/>
                <w:kern w:val="0"/>
                <w:sz w:val="20"/>
                <w:szCs w:val="20"/>
                <w:lang w:val="fr-FR"/>
              </w:rPr>
              <w:t>定义</w:t>
            </w:r>
          </w:p>
        </w:tc>
      </w:tr>
      <w:tr w14:paraId="19E4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0ED314E8">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bCs/>
                <w:kern w:val="0"/>
                <w:sz w:val="20"/>
                <w:szCs w:val="20"/>
                <w:lang w:val="en-US" w:eastAsia="zh-CN"/>
              </w:rPr>
              <w:t>URS</w:t>
            </w:r>
          </w:p>
        </w:tc>
        <w:tc>
          <w:tcPr>
            <w:tcW w:w="7205" w:type="dxa"/>
            <w:noWrap w:val="0"/>
            <w:vAlign w:val="center"/>
          </w:tcPr>
          <w:p w14:paraId="207EE5F4">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User Requirement Specification用户需求说明</w:t>
            </w:r>
          </w:p>
        </w:tc>
      </w:tr>
      <w:tr w14:paraId="05D5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1448FCE8">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GMP</w:t>
            </w:r>
          </w:p>
        </w:tc>
        <w:tc>
          <w:tcPr>
            <w:tcW w:w="7205" w:type="dxa"/>
            <w:noWrap w:val="0"/>
            <w:vAlign w:val="center"/>
          </w:tcPr>
          <w:p w14:paraId="115AD8CC">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Good Manufacturing Practice    药品生产质量管理规范</w:t>
            </w:r>
          </w:p>
        </w:tc>
      </w:tr>
      <w:tr w14:paraId="59E7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3968C445">
            <w:pPr>
              <w:widowControl/>
              <w:jc w:val="center"/>
              <w:rPr>
                <w:rFonts w:hint="eastAsia" w:ascii="Times New Roman" w:hAnsi="Times New Roman" w:eastAsia="宋体" w:cs="Times New Roman"/>
                <w:bCs/>
                <w:kern w:val="0"/>
                <w:sz w:val="20"/>
                <w:szCs w:val="20"/>
                <w:lang w:val="fr-FR" w:eastAsia="zh-CN"/>
              </w:rPr>
            </w:pPr>
            <w:r>
              <w:rPr>
                <w:rFonts w:hint="eastAsia" w:ascii="Times New Roman" w:hAnsi="Times New Roman" w:eastAsia="宋体" w:cs="Times New Roman"/>
                <w:bCs/>
                <w:kern w:val="0"/>
                <w:sz w:val="20"/>
                <w:szCs w:val="20"/>
                <w:lang w:val="en-US" w:eastAsia="zh-CN"/>
              </w:rPr>
              <w:t>IQ</w:t>
            </w:r>
          </w:p>
        </w:tc>
        <w:tc>
          <w:tcPr>
            <w:tcW w:w="7205" w:type="dxa"/>
            <w:noWrap w:val="0"/>
            <w:vAlign w:val="center"/>
          </w:tcPr>
          <w:p w14:paraId="31F126BE">
            <w:pPr>
              <w:widowControl/>
              <w:jc w:val="center"/>
              <w:rPr>
                <w:rFonts w:ascii="Times New Roman" w:hAnsi="Times New Roman" w:eastAsia="宋体" w:cs="Times New Roman"/>
                <w:bCs/>
                <w:kern w:val="0"/>
                <w:sz w:val="20"/>
                <w:szCs w:val="20"/>
                <w:lang w:val="fr-FR"/>
              </w:rPr>
            </w:pPr>
            <w:r>
              <w:rPr>
                <w:rFonts w:hint="eastAsia" w:ascii="Times New Roman" w:hAnsi="Times New Roman" w:eastAsia="宋体" w:cs="Times New Roman"/>
                <w:bCs/>
                <w:kern w:val="0"/>
                <w:sz w:val="20"/>
                <w:szCs w:val="20"/>
                <w:lang w:val="fr-FR"/>
              </w:rPr>
              <w:t>Installation qualification</w:t>
            </w:r>
            <w:r>
              <w:rPr>
                <w:rFonts w:ascii="Times New Roman" w:hAnsi="Times New Roman" w:eastAsia="宋体" w:cs="Times New Roman"/>
                <w:bCs/>
                <w:kern w:val="0"/>
                <w:sz w:val="20"/>
                <w:szCs w:val="20"/>
                <w:lang w:val="fr-FR"/>
              </w:rPr>
              <w:t xml:space="preserve">    </w:t>
            </w:r>
            <w:r>
              <w:rPr>
                <w:rFonts w:ascii="Times New Roman" w:hAnsi="Times New Roman" w:eastAsia="宋体" w:cs="Times New Roman"/>
                <w:kern w:val="0"/>
                <w:sz w:val="20"/>
                <w:szCs w:val="18"/>
                <w:lang w:val="fr-FR"/>
              </w:rPr>
              <w:t>安装确认</w:t>
            </w:r>
          </w:p>
        </w:tc>
      </w:tr>
      <w:tr w14:paraId="1B3C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20948396">
            <w:pPr>
              <w:widowControl/>
              <w:jc w:val="center"/>
              <w:rPr>
                <w:rFonts w:hint="default" w:ascii="Times New Roman" w:hAnsi="Times New Roman" w:eastAsia="宋体" w:cs="Times New Roman"/>
                <w:bCs/>
                <w:kern w:val="0"/>
                <w:sz w:val="20"/>
                <w:szCs w:val="20"/>
                <w:lang w:val="en-US" w:eastAsia="zh-CN"/>
              </w:rPr>
            </w:pPr>
            <w:r>
              <w:rPr>
                <w:rFonts w:hint="eastAsia" w:ascii="Times New Roman" w:hAnsi="Times New Roman" w:eastAsia="宋体" w:cs="Times New Roman"/>
                <w:bCs/>
                <w:kern w:val="0"/>
                <w:sz w:val="20"/>
                <w:szCs w:val="20"/>
                <w:lang w:val="en-US" w:eastAsia="zh-CN"/>
              </w:rPr>
              <w:t>OQ</w:t>
            </w:r>
          </w:p>
        </w:tc>
        <w:tc>
          <w:tcPr>
            <w:tcW w:w="7205" w:type="dxa"/>
            <w:noWrap w:val="0"/>
            <w:vAlign w:val="center"/>
          </w:tcPr>
          <w:p w14:paraId="65693F94">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kern w:val="0"/>
                <w:sz w:val="20"/>
                <w:szCs w:val="18"/>
                <w:lang w:val="fr-FR"/>
              </w:rPr>
              <w:t>Operation qualification</w:t>
            </w:r>
            <w:r>
              <w:rPr>
                <w:rFonts w:ascii="Times New Roman" w:hAnsi="Times New Roman" w:eastAsia="宋体" w:cs="Times New Roman"/>
                <w:bCs/>
                <w:kern w:val="0"/>
                <w:sz w:val="20"/>
                <w:szCs w:val="20"/>
                <w:lang w:val="fr-FR"/>
              </w:rPr>
              <w:t xml:space="preserve">    </w:t>
            </w:r>
            <w:r>
              <w:rPr>
                <w:rFonts w:ascii="Times New Roman" w:hAnsi="Times New Roman" w:eastAsia="宋体" w:cs="Times New Roman"/>
                <w:kern w:val="0"/>
                <w:sz w:val="20"/>
                <w:szCs w:val="18"/>
                <w:lang w:val="fr-FR"/>
              </w:rPr>
              <w:t>运行确认</w:t>
            </w:r>
          </w:p>
        </w:tc>
      </w:tr>
      <w:tr w14:paraId="02D1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7EF6AF10">
            <w:pPr>
              <w:widowControl/>
              <w:jc w:val="center"/>
              <w:rPr>
                <w:rFonts w:hint="eastAsia" w:ascii="Times New Roman" w:hAnsi="Times New Roman" w:eastAsia="宋体" w:cs="Times New Roman"/>
                <w:bCs/>
                <w:kern w:val="0"/>
                <w:sz w:val="20"/>
                <w:szCs w:val="20"/>
                <w:lang w:val="fr-FR" w:eastAsia="zh-CN"/>
              </w:rPr>
            </w:pPr>
            <w:r>
              <w:rPr>
                <w:rFonts w:hint="eastAsia" w:ascii="Times New Roman" w:hAnsi="Times New Roman" w:eastAsia="宋体" w:cs="Times New Roman"/>
                <w:bCs/>
                <w:kern w:val="0"/>
                <w:sz w:val="20"/>
                <w:szCs w:val="20"/>
                <w:lang w:val="en-US" w:eastAsia="zh-CN"/>
              </w:rPr>
              <w:t>PQ</w:t>
            </w:r>
          </w:p>
        </w:tc>
        <w:tc>
          <w:tcPr>
            <w:tcW w:w="7205" w:type="dxa"/>
            <w:noWrap w:val="0"/>
            <w:vAlign w:val="center"/>
          </w:tcPr>
          <w:p w14:paraId="5A610543">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kern w:val="0"/>
                <w:sz w:val="20"/>
                <w:szCs w:val="18"/>
                <w:lang w:val="fr-FR"/>
              </w:rPr>
              <w:t xml:space="preserve">Performance Qualification </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kern w:val="0"/>
                <w:sz w:val="20"/>
                <w:szCs w:val="18"/>
                <w:lang w:val="fr-FR"/>
              </w:rPr>
              <w:t>性能确认</w:t>
            </w:r>
          </w:p>
        </w:tc>
      </w:tr>
      <w:tr w14:paraId="6FD0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152D4EB0">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CPP</w:t>
            </w:r>
          </w:p>
        </w:tc>
        <w:tc>
          <w:tcPr>
            <w:tcW w:w="7205" w:type="dxa"/>
            <w:noWrap w:val="0"/>
            <w:vAlign w:val="center"/>
          </w:tcPr>
          <w:p w14:paraId="1FB124A6">
            <w:pPr>
              <w:widowControl/>
              <w:jc w:val="center"/>
              <w:rPr>
                <w:rFonts w:hint="eastAsia"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Process Parameter</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关键工艺参数</w:t>
            </w:r>
          </w:p>
        </w:tc>
      </w:tr>
      <w:tr w14:paraId="5957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7CCC909D">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N/A</w:t>
            </w:r>
          </w:p>
        </w:tc>
        <w:tc>
          <w:tcPr>
            <w:tcW w:w="7205" w:type="dxa"/>
            <w:noWrap w:val="0"/>
            <w:vAlign w:val="center"/>
          </w:tcPr>
          <w:p w14:paraId="5DBF5A0C">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Not Applicable    不适用</w:t>
            </w:r>
          </w:p>
        </w:tc>
      </w:tr>
      <w:tr w14:paraId="680B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129BE2D2">
            <w:pPr>
              <w:widowControl/>
              <w:jc w:val="center"/>
              <w:rPr>
                <w:rFonts w:hint="eastAsia" w:ascii="Times New Roman" w:hAnsi="Times New Roman" w:eastAsia="宋体" w:cs="Times New Roman"/>
                <w:bCs/>
                <w:kern w:val="0"/>
                <w:sz w:val="20"/>
                <w:szCs w:val="20"/>
                <w:lang w:val="en-US" w:eastAsia="zh-CN"/>
              </w:rPr>
            </w:pPr>
            <w:r>
              <w:rPr>
                <w:rFonts w:hint="eastAsia" w:ascii="Times New Roman" w:hAnsi="Times New Roman" w:eastAsia="宋体" w:cs="Times New Roman"/>
                <w:bCs/>
                <w:kern w:val="0"/>
                <w:sz w:val="20"/>
                <w:szCs w:val="20"/>
                <w:lang w:val="en-US" w:eastAsia="zh-CN"/>
              </w:rPr>
              <w:t>EHS</w:t>
            </w:r>
          </w:p>
        </w:tc>
        <w:tc>
          <w:tcPr>
            <w:tcW w:w="7205" w:type="dxa"/>
            <w:noWrap w:val="0"/>
            <w:vAlign w:val="center"/>
          </w:tcPr>
          <w:p w14:paraId="02FFC520">
            <w:pPr>
              <w:widowControl/>
              <w:jc w:val="center"/>
              <w:rPr>
                <w:rFonts w:hint="default" w:ascii="Times New Roman" w:hAnsi="Times New Roman" w:eastAsia="宋体" w:cs="Times New Roman"/>
                <w:bCs/>
                <w:kern w:val="0"/>
                <w:sz w:val="20"/>
                <w:szCs w:val="20"/>
                <w:lang w:val="en-US" w:eastAsia="zh-CN"/>
              </w:rPr>
            </w:pPr>
            <w:r>
              <w:rPr>
                <w:rFonts w:hint="eastAsia" w:ascii="Times New Roman" w:hAnsi="Times New Roman" w:eastAsia="宋体" w:cs="Times New Roman"/>
                <w:kern w:val="0"/>
                <w:sz w:val="20"/>
                <w:szCs w:val="18"/>
                <w:lang w:val="fr-FR"/>
              </w:rPr>
              <w:t>Environment, Health and Safety</w:t>
            </w:r>
            <w:r>
              <w:rPr>
                <w:rFonts w:hint="eastAsia" w:ascii="Times New Roman" w:hAnsi="Times New Roman" w:eastAsia="宋体" w:cs="Times New Roman"/>
                <w:kern w:val="0"/>
                <w:sz w:val="20"/>
                <w:szCs w:val="18"/>
                <w:lang w:val="en-US" w:eastAsia="zh-CN"/>
              </w:rPr>
              <w:t xml:space="preserve">  </w:t>
            </w:r>
            <w:r>
              <w:rPr>
                <w:rFonts w:hint="eastAsia" w:ascii="Times New Roman" w:hAnsi="Times New Roman" w:eastAsia="宋体" w:cs="Times New Roman"/>
                <w:kern w:val="0"/>
                <w:sz w:val="20"/>
                <w:szCs w:val="18"/>
                <w:lang w:val="fr-FR"/>
              </w:rPr>
              <w:t xml:space="preserve">环境健康安全 </w:t>
            </w:r>
          </w:p>
        </w:tc>
      </w:tr>
    </w:tbl>
    <w:p w14:paraId="3669ED56">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5" w:name="_Toc15247"/>
      <w:r>
        <w:rPr>
          <w:rFonts w:hint="eastAsia" w:ascii="Times New Roman" w:hAnsi="Times New Roman" w:eastAsia="宋体" w:cs="Times New Roman"/>
          <w:b/>
          <w:caps/>
          <w:kern w:val="28"/>
          <w:sz w:val="30"/>
          <w:lang w:val="en-US" w:eastAsia="zh-CN" w:bidi="ar-SA"/>
        </w:rPr>
        <w:t>参考文件</w:t>
      </w:r>
      <w:bookmarkEnd w:id="135"/>
    </w:p>
    <w:p w14:paraId="3B987294">
      <w:pPr>
        <w:widowControl/>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《兽药生产质量管理规范（2020年修订）》</w:t>
      </w:r>
    </w:p>
    <w:p w14:paraId="681210C3">
      <w:pPr>
        <w:widowControl/>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 xml:space="preserve">《中华人民共和国兽药典》（2025版） </w:t>
      </w:r>
    </w:p>
    <w:p w14:paraId="18927F3F">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6" w:name="_Toc24565"/>
      <w:r>
        <w:rPr>
          <w:rFonts w:hint="eastAsia" w:ascii="Times New Roman" w:hAnsi="Times New Roman" w:eastAsia="宋体" w:cs="Times New Roman"/>
          <w:b/>
          <w:caps/>
          <w:kern w:val="28"/>
          <w:sz w:val="30"/>
          <w:lang w:val="fr-FR" w:eastAsia="zh-CN" w:bidi="ar-SA"/>
        </w:rPr>
        <w:t>需</w:t>
      </w:r>
      <w:r>
        <w:rPr>
          <w:rFonts w:hint="eastAsia" w:ascii="Times New Roman" w:hAnsi="Times New Roman" w:eastAsia="宋体" w:cs="Times New Roman"/>
          <w:b/>
          <w:caps/>
          <w:kern w:val="28"/>
          <w:sz w:val="30"/>
          <w:lang w:val="en-US" w:eastAsia="zh-CN" w:bidi="ar-SA"/>
        </w:rPr>
        <w:t>求SPF鸡饲料</w:t>
      </w:r>
      <w:r>
        <w:rPr>
          <w:rFonts w:hint="eastAsia" w:ascii="Times New Roman" w:hAnsi="Times New Roman" w:eastAsia="宋体" w:cs="Times New Roman"/>
          <w:b/>
          <w:caps/>
          <w:kern w:val="28"/>
          <w:sz w:val="30"/>
          <w:lang w:val="fr-FR" w:eastAsia="zh-CN" w:bidi="ar-SA"/>
        </w:rPr>
        <w:t>的简单描述</w:t>
      </w:r>
      <w:bookmarkEnd w:id="134"/>
      <w:bookmarkEnd w:id="136"/>
    </w:p>
    <w:p w14:paraId="444FF893">
      <w:pPr>
        <w:keepNext w:val="0"/>
        <w:keepLines w:val="0"/>
        <w:widowControl/>
        <w:suppressLineNumbers w:val="0"/>
        <w:jc w:val="left"/>
        <w:rPr>
          <w:rFonts w:ascii="Times New Roman" w:hAnsi="Times New Roman" w:eastAsia="宋体" w:cs="Times New Roman"/>
          <w:kern w:val="0"/>
          <w:sz w:val="20"/>
          <w:szCs w:val="20"/>
          <w:lang w:val="fr-FR"/>
        </w:rPr>
      </w:pPr>
      <w:bookmarkStart w:id="137" w:name="_Toc14542"/>
      <w:r>
        <w:rPr>
          <w:rFonts w:hint="eastAsia" w:asciiTheme="minorEastAsia" w:hAnsiTheme="minorEastAsia" w:eastAsiaTheme="minorEastAsia" w:cstheme="minorEastAsia"/>
          <w:color w:val="000000"/>
          <w:kern w:val="0"/>
          <w:sz w:val="20"/>
          <w:szCs w:val="20"/>
          <w:lang w:val="en-US" w:eastAsia="zh-CN" w:bidi="ar"/>
        </w:rPr>
        <w:t>SPF鸡肠道菌群与普通鸡消化道有较大差异，饲料转化率低，SPF鸡的饲料必须是全价料，不得添加任何抗生素、激素类添加剂，必须经过高压灭菌或放射线辐照等不同形式的灭菌工艺，确保SPF鸡饲育过程无病原微生物、无疫病抗体、无抗生素污染。</w:t>
      </w:r>
    </w:p>
    <w:p w14:paraId="5AEC3892">
      <w:pPr>
        <w:keepNext/>
        <w:numPr>
          <w:ilvl w:val="0"/>
          <w:numId w:val="11"/>
        </w:numPr>
        <w:spacing w:before="240" w:after="60"/>
        <w:outlineLvl w:val="0"/>
        <w:rPr>
          <w:rFonts w:hint="eastAsia" w:ascii="Times New Roman" w:hAnsi="Times New Roman" w:eastAsia="宋体" w:cs="Times New Roman"/>
          <w:b/>
          <w:caps/>
          <w:kern w:val="28"/>
          <w:sz w:val="30"/>
          <w:highlight w:val="none"/>
          <w:lang w:val="fr-FR" w:eastAsia="zh-CN" w:bidi="ar-SA"/>
        </w:rPr>
      </w:pPr>
      <w:bookmarkStart w:id="138" w:name="_Toc6804"/>
      <w:r>
        <w:rPr>
          <w:rFonts w:hint="eastAsia" w:ascii="Times New Roman" w:hAnsi="Times New Roman" w:eastAsia="宋体" w:cs="Times New Roman"/>
          <w:b/>
          <w:caps/>
          <w:kern w:val="28"/>
          <w:sz w:val="30"/>
          <w:highlight w:val="none"/>
          <w:lang w:val="en-US" w:eastAsia="zh-CN" w:bidi="ar-SA"/>
        </w:rPr>
        <w:t>技术规格</w:t>
      </w:r>
      <w:bookmarkEnd w:id="137"/>
      <w:bookmarkEnd w:id="138"/>
    </w:p>
    <w:p w14:paraId="49D80EC8">
      <w:pPr>
        <w:keepNext/>
        <w:numPr>
          <w:ilvl w:val="1"/>
          <w:numId w:val="11"/>
        </w:numPr>
        <w:bidi w:val="0"/>
        <w:spacing w:before="240" w:after="60"/>
        <w:outlineLvl w:val="1"/>
        <w:rPr>
          <w:rFonts w:hint="eastAsia" w:ascii="Times New Roman" w:hAnsi="Times New Roman" w:eastAsia="宋体" w:cs="Times New Roman"/>
          <w:b/>
          <w:sz w:val="28"/>
          <w:highlight w:val="none"/>
          <w:lang w:val="en-US" w:eastAsia="zh-CN" w:bidi="ar-SA"/>
        </w:rPr>
      </w:pPr>
      <w:bookmarkStart w:id="139" w:name="_Toc5319"/>
      <w:bookmarkStart w:id="140" w:name="_Toc20528"/>
      <w:r>
        <w:rPr>
          <w:rFonts w:hint="eastAsia" w:ascii="Times New Roman" w:hAnsi="Times New Roman" w:eastAsia="宋体" w:cs="Times New Roman"/>
          <w:b/>
          <w:sz w:val="28"/>
          <w:highlight w:val="none"/>
          <w:lang w:val="en-US" w:eastAsia="zh-CN" w:bidi="ar-SA"/>
        </w:rPr>
        <w:t>基本要求</w:t>
      </w:r>
      <w:bookmarkEnd w:id="139"/>
      <w:bookmarkEnd w:id="140"/>
    </w:p>
    <w:tbl>
      <w:tblPr>
        <w:tblStyle w:val="51"/>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67"/>
        <w:gridCol w:w="6780"/>
        <w:gridCol w:w="1451"/>
      </w:tblGrid>
      <w:tr w14:paraId="37EF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blHeader/>
          <w:jc w:val="center"/>
        </w:trPr>
        <w:tc>
          <w:tcPr>
            <w:tcW w:w="1167"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5704D4D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kern w:val="0"/>
                <w:sz w:val="20"/>
                <w:szCs w:val="21"/>
                <w:highlight w:val="none"/>
                <w:lang w:val="fr-FR"/>
              </w:rPr>
            </w:pPr>
            <w:r>
              <w:rPr>
                <w:rFonts w:hint="default" w:ascii="Times New Roman" w:hAnsi="Times New Roman" w:eastAsia="宋体" w:cs="Times New Roman"/>
                <w:b/>
                <w:color w:val="000000"/>
                <w:kern w:val="0"/>
                <w:sz w:val="20"/>
                <w:szCs w:val="21"/>
                <w:highlight w:val="none"/>
                <w:lang w:val="fr-FR"/>
              </w:rPr>
              <w:t>编号</w:t>
            </w:r>
          </w:p>
        </w:tc>
        <w:tc>
          <w:tcPr>
            <w:tcW w:w="6780"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2D21203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kern w:val="0"/>
                <w:sz w:val="20"/>
                <w:szCs w:val="21"/>
                <w:highlight w:val="none"/>
                <w:lang w:val="fr-FR"/>
              </w:rPr>
            </w:pPr>
            <w:r>
              <w:rPr>
                <w:rFonts w:hint="default" w:ascii="Times New Roman" w:hAnsi="Times New Roman" w:eastAsia="宋体" w:cs="Times New Roman"/>
                <w:b/>
                <w:bCs/>
                <w:kern w:val="0"/>
                <w:sz w:val="20"/>
                <w:szCs w:val="20"/>
                <w:highlight w:val="none"/>
                <w:lang w:val="fr-FR"/>
              </w:rPr>
              <w:t>要求内容</w:t>
            </w:r>
          </w:p>
        </w:tc>
        <w:tc>
          <w:tcPr>
            <w:tcW w:w="1451"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1B51765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0"/>
                <w:szCs w:val="21"/>
                <w:highlight w:val="none"/>
                <w:lang w:val="fr-FR"/>
              </w:rPr>
            </w:pPr>
            <w:r>
              <w:rPr>
                <w:rFonts w:hint="default" w:ascii="Times New Roman" w:hAnsi="Times New Roman" w:eastAsia="宋体" w:cs="Times New Roman"/>
                <w:b/>
                <w:bCs/>
                <w:kern w:val="0"/>
                <w:sz w:val="20"/>
                <w:szCs w:val="20"/>
                <w:highlight w:val="none"/>
                <w:lang w:val="fr-FR"/>
              </w:rPr>
              <w:t>必</w:t>
            </w:r>
            <w:r>
              <w:rPr>
                <w:rFonts w:hint="eastAsia" w:ascii="Times New Roman" w:hAnsi="Times New Roman" w:eastAsia="宋体" w:cs="Times New Roman"/>
                <w:b/>
                <w:bCs/>
                <w:kern w:val="0"/>
                <w:sz w:val="20"/>
                <w:szCs w:val="20"/>
                <w:highlight w:val="none"/>
                <w:lang w:val="en-US" w:eastAsia="zh-CN"/>
              </w:rPr>
              <w:t>需</w:t>
            </w:r>
            <w:r>
              <w:rPr>
                <w:rFonts w:hint="default" w:ascii="Times New Roman" w:hAnsi="Times New Roman" w:eastAsia="宋体" w:cs="Times New Roman"/>
                <w:b/>
                <w:bCs/>
                <w:kern w:val="0"/>
                <w:sz w:val="20"/>
                <w:szCs w:val="20"/>
                <w:highlight w:val="none"/>
                <w:lang w:val="fr-FR"/>
              </w:rPr>
              <w:t>或期望</w:t>
            </w:r>
          </w:p>
        </w:tc>
      </w:tr>
      <w:tr w14:paraId="4E1E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1"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F4A75C">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both"/>
              <w:textAlignment w:val="auto"/>
              <w:rPr>
                <w:rFonts w:hint="default" w:ascii="Times New Roman" w:hAnsi="Times New Roman" w:eastAsia="宋体" w:cs="Times New Roman"/>
                <w:color w:val="0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327B12">
            <w:pPr>
              <w:widowControl/>
              <w:jc w:val="left"/>
              <w:rPr>
                <w:rFonts w:hint="eastAsia" w:ascii="Times New Roman" w:hAnsi="Times New Roman" w:eastAsia="宋体" w:cs="Times New Roman"/>
                <w:kern w:val="0"/>
                <w:sz w:val="20"/>
                <w:szCs w:val="20"/>
                <w:highlight w:val="none"/>
                <w:lang w:val="en-GB"/>
              </w:rPr>
            </w:pPr>
            <w:r>
              <w:rPr>
                <w:rFonts w:hint="eastAsia" w:ascii="Times New Roman" w:hAnsi="Times New Roman" w:eastAsia="宋体" w:cs="Times New Roman"/>
                <w:kern w:val="0"/>
                <w:sz w:val="20"/>
                <w:szCs w:val="20"/>
                <w:highlight w:val="none"/>
                <w:lang w:val="en-GB"/>
              </w:rPr>
              <w:t>应符合中国现行GMP要求。</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A843A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kern w:val="0"/>
                <w:sz w:val="20"/>
                <w:szCs w:val="21"/>
                <w:highlight w:val="none"/>
                <w:lang w:val="fr-FR"/>
              </w:rPr>
            </w:pPr>
            <w:r>
              <w:rPr>
                <w:rFonts w:hint="default" w:ascii="Times New Roman" w:hAnsi="Times New Roman" w:eastAsia="宋体" w:cs="Times New Roman"/>
                <w:kern w:val="0"/>
                <w:sz w:val="20"/>
                <w:szCs w:val="20"/>
                <w:highlight w:val="none"/>
                <w:lang w:val="fr-FR"/>
              </w:rPr>
              <w:t>必需</w:t>
            </w:r>
          </w:p>
        </w:tc>
      </w:tr>
      <w:tr w14:paraId="5226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11E129">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both"/>
              <w:textAlignment w:val="auto"/>
              <w:rPr>
                <w:rFonts w:hint="default" w:ascii="Times New Roman" w:hAnsi="Times New Roman" w:eastAsia="宋体" w:cs="Times New Roman"/>
                <w:color w:val="C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587AAA">
            <w:pPr>
              <w:widowControl/>
              <w:jc w:val="left"/>
              <w:rPr>
                <w:rFonts w:hint="eastAsia" w:ascii="Times New Roman" w:hAnsi="Times New Roman" w:eastAsia="宋体" w:cs="Times New Roman"/>
                <w:kern w:val="0"/>
                <w:sz w:val="20"/>
                <w:szCs w:val="20"/>
                <w:highlight w:val="none"/>
                <w:lang w:val="en-GB" w:eastAsia="zh-CN"/>
              </w:rPr>
            </w:pPr>
            <w:r>
              <w:rPr>
                <w:rFonts w:hint="eastAsia" w:ascii="Times New Roman" w:hAnsi="Times New Roman" w:eastAsia="宋体" w:cs="Times New Roman"/>
                <w:kern w:val="0"/>
                <w:sz w:val="20"/>
                <w:szCs w:val="20"/>
                <w:highlight w:val="none"/>
                <w:lang w:val="en-US" w:eastAsia="zh-CN"/>
              </w:rPr>
              <w:t>应</w:t>
            </w:r>
            <w:r>
              <w:rPr>
                <w:rFonts w:hint="eastAsia" w:ascii="Times New Roman" w:hAnsi="Times New Roman" w:eastAsia="宋体" w:cs="Times New Roman"/>
                <w:kern w:val="0"/>
                <w:sz w:val="20"/>
                <w:szCs w:val="20"/>
                <w:highlight w:val="none"/>
                <w:lang w:val="fr-FR" w:eastAsia="zh-CN"/>
              </w:rPr>
              <w:t xml:space="preserve">符合《实验动物 SPF 鸡配合饲料》行业标准。 </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DBA82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kern w:val="0"/>
                <w:sz w:val="20"/>
                <w:szCs w:val="21"/>
                <w:highlight w:val="none"/>
                <w:lang w:val="fr-FR" w:eastAsia="zh-CN" w:bidi="ar-SA"/>
              </w:rPr>
            </w:pPr>
            <w:r>
              <w:rPr>
                <w:rFonts w:hint="default" w:ascii="Times New Roman" w:hAnsi="Times New Roman" w:eastAsia="宋体" w:cs="Times New Roman"/>
                <w:kern w:val="0"/>
                <w:sz w:val="20"/>
                <w:szCs w:val="20"/>
                <w:highlight w:val="none"/>
                <w:lang w:val="fr-FR"/>
              </w:rPr>
              <w:t>必需</w:t>
            </w:r>
          </w:p>
        </w:tc>
      </w:tr>
    </w:tbl>
    <w:p w14:paraId="5757ED87">
      <w:pPr>
        <w:keepNext/>
        <w:numPr>
          <w:ilvl w:val="1"/>
          <w:numId w:val="11"/>
        </w:numPr>
        <w:bidi w:val="0"/>
        <w:spacing w:before="240" w:after="60"/>
        <w:outlineLvl w:val="1"/>
        <w:rPr>
          <w:rFonts w:ascii="Times New Roman" w:hAnsi="Times New Roman" w:eastAsia="宋体" w:cs="Times New Roman"/>
          <w:b/>
          <w:sz w:val="28"/>
          <w:highlight w:val="none"/>
          <w:lang w:val="fr-FR" w:eastAsia="zh-CN" w:bidi="ar-SA"/>
        </w:rPr>
      </w:pPr>
      <w:bookmarkStart w:id="141" w:name="_Toc10276"/>
      <w:bookmarkStart w:id="142" w:name="_Toc16542"/>
      <w:bookmarkStart w:id="143" w:name="_Toc2524"/>
      <w:r>
        <w:rPr>
          <w:rFonts w:hint="eastAsia" w:ascii="Times New Roman" w:hAnsi="Times New Roman" w:eastAsia="宋体" w:cs="Times New Roman"/>
          <w:b/>
          <w:sz w:val="28"/>
          <w:highlight w:val="none"/>
          <w:lang w:val="fr-FR" w:eastAsia="zh-CN" w:bidi="ar-SA"/>
        </w:rPr>
        <w:t>技术要</w:t>
      </w:r>
      <w:r>
        <w:rPr>
          <w:rFonts w:ascii="Times New Roman" w:hAnsi="Times New Roman" w:eastAsia="宋体" w:cs="Times New Roman"/>
          <w:b/>
          <w:sz w:val="28"/>
          <w:highlight w:val="none"/>
          <w:lang w:val="fr-FR" w:eastAsia="zh-CN" w:bidi="ar-SA"/>
        </w:rPr>
        <w:t>求</w:t>
      </w:r>
      <w:bookmarkEnd w:id="141"/>
      <w:bookmarkEnd w:id="142"/>
      <w:bookmarkEnd w:id="143"/>
    </w:p>
    <w:tbl>
      <w:tblPr>
        <w:tblStyle w:val="51"/>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67"/>
        <w:gridCol w:w="6780"/>
        <w:gridCol w:w="1451"/>
      </w:tblGrid>
      <w:tr w14:paraId="33B2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67"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6DD57EB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kern w:val="0"/>
                <w:sz w:val="20"/>
                <w:szCs w:val="21"/>
                <w:highlight w:val="none"/>
                <w:lang w:val="fr-FR"/>
              </w:rPr>
            </w:pPr>
            <w:bookmarkStart w:id="144" w:name="_Toc414370580"/>
            <w:bookmarkStart w:id="145" w:name="_Toc410586289"/>
            <w:r>
              <w:rPr>
                <w:rFonts w:hint="default" w:ascii="Times New Roman" w:hAnsi="Times New Roman" w:eastAsia="宋体" w:cs="Times New Roman"/>
                <w:b/>
                <w:color w:val="000000"/>
                <w:kern w:val="0"/>
                <w:sz w:val="20"/>
                <w:szCs w:val="21"/>
                <w:highlight w:val="none"/>
                <w:lang w:val="fr-FR"/>
              </w:rPr>
              <w:t>编号</w:t>
            </w:r>
          </w:p>
        </w:tc>
        <w:tc>
          <w:tcPr>
            <w:tcW w:w="6780"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4453F9E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kern w:val="0"/>
                <w:sz w:val="20"/>
                <w:szCs w:val="21"/>
                <w:highlight w:val="none"/>
                <w:lang w:val="fr-FR"/>
              </w:rPr>
            </w:pPr>
            <w:r>
              <w:rPr>
                <w:rFonts w:hint="default" w:ascii="Times New Roman" w:hAnsi="Times New Roman" w:eastAsia="宋体" w:cs="Times New Roman"/>
                <w:b/>
                <w:bCs/>
                <w:kern w:val="0"/>
                <w:sz w:val="20"/>
                <w:szCs w:val="20"/>
                <w:highlight w:val="none"/>
                <w:lang w:val="fr-FR"/>
              </w:rPr>
              <w:t>要求内容</w:t>
            </w:r>
          </w:p>
        </w:tc>
        <w:tc>
          <w:tcPr>
            <w:tcW w:w="1451"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58B7156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0"/>
                <w:szCs w:val="21"/>
                <w:highlight w:val="none"/>
                <w:lang w:val="fr-FR"/>
              </w:rPr>
            </w:pPr>
            <w:r>
              <w:rPr>
                <w:rFonts w:hint="default" w:ascii="Times New Roman" w:hAnsi="Times New Roman" w:eastAsia="宋体" w:cs="Times New Roman"/>
                <w:b/>
                <w:bCs/>
                <w:kern w:val="0"/>
                <w:sz w:val="20"/>
                <w:szCs w:val="20"/>
                <w:highlight w:val="none"/>
                <w:lang w:val="fr-FR"/>
              </w:rPr>
              <w:t>必</w:t>
            </w:r>
            <w:r>
              <w:rPr>
                <w:rFonts w:hint="eastAsia" w:ascii="Times New Roman" w:hAnsi="Times New Roman" w:eastAsia="宋体" w:cs="Times New Roman"/>
                <w:b/>
                <w:bCs/>
                <w:kern w:val="0"/>
                <w:sz w:val="20"/>
                <w:szCs w:val="20"/>
                <w:highlight w:val="none"/>
                <w:lang w:val="en-US" w:eastAsia="zh-CN"/>
              </w:rPr>
              <w:t>需</w:t>
            </w:r>
            <w:r>
              <w:rPr>
                <w:rFonts w:hint="default" w:ascii="Times New Roman" w:hAnsi="Times New Roman" w:eastAsia="宋体" w:cs="Times New Roman"/>
                <w:b/>
                <w:bCs/>
                <w:kern w:val="0"/>
                <w:sz w:val="20"/>
                <w:szCs w:val="20"/>
                <w:highlight w:val="none"/>
                <w:lang w:val="fr-FR"/>
              </w:rPr>
              <w:t>或期望</w:t>
            </w:r>
          </w:p>
        </w:tc>
      </w:tr>
      <w:tr w14:paraId="71CF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1"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B2FD9A">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0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FA890C">
            <w:pPr>
              <w:widowControl/>
              <w:jc w:val="both"/>
              <w:rPr>
                <w:rFonts w:hint="default" w:ascii="Times New Roman" w:hAnsi="Times New Roman" w:eastAsia="宋体" w:cs="Times New Roman"/>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bidi="ar"/>
              </w:rPr>
              <w:t>SPF鸡的饲料必须是全价料</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FFB9B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kern w:val="0"/>
                <w:sz w:val="20"/>
                <w:szCs w:val="21"/>
                <w:highlight w:val="none"/>
                <w:lang w:val="fr-FR"/>
              </w:rPr>
            </w:pPr>
            <w:r>
              <w:rPr>
                <w:rFonts w:hint="default" w:ascii="Times New Roman" w:hAnsi="Times New Roman" w:eastAsia="宋体" w:cs="Times New Roman"/>
                <w:kern w:val="0"/>
                <w:sz w:val="20"/>
                <w:szCs w:val="20"/>
                <w:highlight w:val="none"/>
                <w:lang w:val="fr-FR"/>
              </w:rPr>
              <w:t>必需</w:t>
            </w:r>
          </w:p>
        </w:tc>
      </w:tr>
      <w:bookmarkEnd w:id="144"/>
      <w:bookmarkEnd w:id="145"/>
      <w:tr w14:paraId="54E9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16A2DB">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360106">
            <w:pPr>
              <w:widowControl/>
              <w:jc w:val="both"/>
              <w:rPr>
                <w:rFonts w:hint="default" w:ascii="Times New Roman" w:hAnsi="Times New Roman" w:eastAsia="宋体" w:cs="Times New Roman"/>
                <w:kern w:val="0"/>
                <w:sz w:val="20"/>
                <w:szCs w:val="20"/>
                <w:highlight w:val="none"/>
                <w:lang w:val="fr-FR"/>
              </w:rPr>
            </w:pPr>
            <w:r>
              <w:rPr>
                <w:rFonts w:hint="eastAsia" w:asciiTheme="minorEastAsia" w:hAnsiTheme="minorEastAsia" w:eastAsiaTheme="minorEastAsia" w:cstheme="minorEastAsia"/>
                <w:color w:val="000000"/>
                <w:kern w:val="0"/>
                <w:sz w:val="20"/>
                <w:szCs w:val="20"/>
                <w:highlight w:val="none"/>
                <w:lang w:val="en-US" w:eastAsia="zh-CN" w:bidi="ar"/>
              </w:rPr>
              <w:t>不得添加任何抗生素、激素类添加剂</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083D7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kern w:val="0"/>
                <w:sz w:val="20"/>
                <w:szCs w:val="21"/>
                <w:highlight w:val="none"/>
                <w:lang w:val="fr-FR"/>
              </w:rPr>
            </w:pPr>
            <w:r>
              <w:rPr>
                <w:rFonts w:hint="default" w:ascii="Times New Roman" w:hAnsi="Times New Roman" w:eastAsia="宋体" w:cs="Times New Roman"/>
                <w:kern w:val="0"/>
                <w:sz w:val="20"/>
                <w:szCs w:val="20"/>
                <w:highlight w:val="none"/>
                <w:lang w:val="fr-FR"/>
              </w:rPr>
              <w:t>必需</w:t>
            </w:r>
          </w:p>
        </w:tc>
      </w:tr>
      <w:tr w14:paraId="69D6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D2111A">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72F0AD">
            <w:pPr>
              <w:widowControl/>
              <w:jc w:val="both"/>
              <w:rPr>
                <w:rFonts w:hint="default" w:ascii="Times New Roman" w:hAnsi="Times New Roman" w:eastAsia="宋体" w:cs="Times New Roman"/>
                <w:kern w:val="0"/>
                <w:sz w:val="20"/>
                <w:szCs w:val="20"/>
                <w:highlight w:val="none"/>
                <w:lang w:val="fr-FR"/>
              </w:rPr>
            </w:pPr>
            <w:r>
              <w:rPr>
                <w:rFonts w:hint="eastAsia" w:asciiTheme="minorEastAsia" w:hAnsiTheme="minorEastAsia" w:eastAsiaTheme="minorEastAsia" w:cstheme="minorEastAsia"/>
                <w:color w:val="000000"/>
                <w:kern w:val="0"/>
                <w:sz w:val="20"/>
                <w:szCs w:val="20"/>
                <w:highlight w:val="none"/>
                <w:lang w:val="en-US" w:eastAsia="zh-CN" w:bidi="ar"/>
              </w:rPr>
              <w:t>必须经过高压灭菌或放射线辐照等不同形式的灭菌工艺</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504CC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kern w:val="0"/>
                <w:sz w:val="20"/>
                <w:szCs w:val="21"/>
                <w:highlight w:val="none"/>
                <w:lang w:val="fr-FR"/>
              </w:rPr>
            </w:pPr>
            <w:r>
              <w:rPr>
                <w:rFonts w:hint="default" w:ascii="Times New Roman" w:hAnsi="Times New Roman" w:eastAsia="宋体" w:cs="Times New Roman"/>
                <w:kern w:val="0"/>
                <w:sz w:val="20"/>
                <w:szCs w:val="20"/>
                <w:highlight w:val="none"/>
                <w:lang w:val="fr-FR"/>
              </w:rPr>
              <w:t>必需</w:t>
            </w:r>
          </w:p>
        </w:tc>
      </w:tr>
      <w:tr w14:paraId="7164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D17A8A">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kern w:val="0"/>
                <w:sz w:val="20"/>
                <w:szCs w:val="21"/>
                <w:highlight w:val="none"/>
                <w:lang w:val="fr-FR"/>
              </w:rPr>
            </w:pPr>
            <w:bookmarkStart w:id="146" w:name="_Toc65836553"/>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DC3A92">
            <w:pPr>
              <w:widowControl/>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包装必需是SPF级真空包装</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B2994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0"/>
                <w:szCs w:val="20"/>
                <w:highlight w:val="none"/>
                <w:lang w:val="fr-FR"/>
              </w:rPr>
            </w:pPr>
            <w:r>
              <w:rPr>
                <w:rFonts w:hint="default" w:ascii="Times New Roman" w:hAnsi="Times New Roman" w:eastAsia="宋体" w:cs="Times New Roman"/>
                <w:kern w:val="0"/>
                <w:sz w:val="20"/>
                <w:szCs w:val="20"/>
                <w:highlight w:val="none"/>
                <w:lang w:val="fr-FR"/>
              </w:rPr>
              <w:t>必需</w:t>
            </w:r>
          </w:p>
        </w:tc>
      </w:tr>
      <w:tr w14:paraId="5632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8CA2DF">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1C379D">
            <w:pPr>
              <w:widowControl/>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外包装不超过20kg/箱</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5F72BA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0"/>
                <w:szCs w:val="20"/>
                <w:highlight w:val="none"/>
                <w:lang w:val="fr-FR"/>
              </w:rPr>
            </w:pPr>
            <w:r>
              <w:rPr>
                <w:rFonts w:hint="default" w:ascii="Times New Roman" w:hAnsi="Times New Roman" w:eastAsia="宋体" w:cs="Times New Roman"/>
                <w:kern w:val="0"/>
                <w:sz w:val="20"/>
                <w:szCs w:val="20"/>
                <w:highlight w:val="none"/>
                <w:lang w:val="fr-FR"/>
              </w:rPr>
              <w:t>必需</w:t>
            </w:r>
          </w:p>
        </w:tc>
      </w:tr>
      <w:tr w14:paraId="4B73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6AF0DD">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BA065D">
            <w:pPr>
              <w:widowControl/>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内包装不超过2.5kg/袋</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BB0E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0"/>
                <w:szCs w:val="20"/>
                <w:highlight w:val="none"/>
                <w:lang w:val="fr-FR"/>
              </w:rPr>
            </w:pPr>
            <w:r>
              <w:rPr>
                <w:rFonts w:hint="default" w:ascii="Times New Roman" w:hAnsi="Times New Roman" w:eastAsia="宋体" w:cs="Times New Roman"/>
                <w:kern w:val="0"/>
                <w:sz w:val="20"/>
                <w:szCs w:val="20"/>
                <w:highlight w:val="none"/>
                <w:lang w:val="fr-FR"/>
              </w:rPr>
              <w:t>必需</w:t>
            </w:r>
          </w:p>
        </w:tc>
      </w:tr>
      <w:tr w14:paraId="07FB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C4A99C">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689A43">
            <w:pPr>
              <w:widowControl/>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内包装层数不低于2层，且最内层包装能满足在隔离器内直接操作要求</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12EAA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0"/>
                <w:szCs w:val="20"/>
                <w:highlight w:val="none"/>
                <w:lang w:val="fr-FR"/>
              </w:rPr>
            </w:pPr>
            <w:r>
              <w:rPr>
                <w:rFonts w:hint="default" w:ascii="Times New Roman" w:hAnsi="Times New Roman" w:eastAsia="宋体" w:cs="Times New Roman"/>
                <w:kern w:val="0"/>
                <w:sz w:val="20"/>
                <w:szCs w:val="20"/>
                <w:highlight w:val="none"/>
                <w:lang w:val="fr-FR"/>
              </w:rPr>
              <w:t>必需</w:t>
            </w:r>
          </w:p>
        </w:tc>
      </w:tr>
      <w:tr w14:paraId="1034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90F3E">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A37C72">
            <w:pPr>
              <w:widowControl/>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饲料的粉尘颗粒量不能对隔离器正常通风系统造成影响。</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84169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0"/>
                <w:szCs w:val="20"/>
                <w:highlight w:val="none"/>
                <w:lang w:val="fr-FR"/>
              </w:rPr>
            </w:pPr>
            <w:r>
              <w:rPr>
                <w:rFonts w:hint="default" w:ascii="Times New Roman" w:hAnsi="Times New Roman" w:eastAsia="宋体" w:cs="Times New Roman"/>
                <w:kern w:val="0"/>
                <w:sz w:val="20"/>
                <w:szCs w:val="20"/>
                <w:highlight w:val="none"/>
                <w:lang w:val="fr-FR"/>
              </w:rPr>
              <w:t>必需</w:t>
            </w:r>
          </w:p>
        </w:tc>
      </w:tr>
      <w:tr w14:paraId="6FF1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F76E42">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kern w:val="0"/>
                <w:sz w:val="20"/>
                <w:szCs w:val="21"/>
                <w:highlight w:val="none"/>
                <w:lang w:val="fr-FR"/>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BB59D0">
            <w:pPr>
              <w:widowControl/>
              <w:jc w:val="both"/>
              <w:rPr>
                <w:rFonts w:hint="default"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最内层包装有一定防潮效果，方便提取和放置</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1C4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kern w:val="0"/>
                <w:sz w:val="20"/>
                <w:szCs w:val="20"/>
                <w:highlight w:val="none"/>
                <w:lang w:val="en-US" w:eastAsia="zh-CN"/>
              </w:rPr>
            </w:pPr>
            <w:r>
              <w:rPr>
                <w:rFonts w:hint="eastAsia" w:ascii="Times New Roman" w:hAnsi="Times New Roman" w:eastAsia="宋体" w:cs="Times New Roman"/>
                <w:kern w:val="0"/>
                <w:sz w:val="20"/>
                <w:szCs w:val="20"/>
                <w:highlight w:val="none"/>
                <w:lang w:val="en-US" w:eastAsia="zh-CN"/>
              </w:rPr>
              <w:t>期望</w:t>
            </w:r>
          </w:p>
        </w:tc>
      </w:tr>
    </w:tbl>
    <w:p w14:paraId="0A166B85">
      <w:pPr>
        <w:widowControl/>
        <w:autoSpaceDE w:val="0"/>
        <w:autoSpaceDN w:val="0"/>
        <w:adjustRightInd w:val="0"/>
        <w:spacing w:after="120"/>
        <w:outlineLvl w:val="1"/>
        <w:rPr>
          <w:rFonts w:ascii="Times New Roman" w:hAnsi="Times New Roman" w:eastAsia="宋体" w:cs="Times New Roman"/>
          <w:b/>
          <w:bCs/>
          <w:color w:val="000000"/>
          <w:sz w:val="21"/>
          <w:szCs w:val="21"/>
          <w:highlight w:val="none"/>
          <w:lang w:val="en-US" w:eastAsia="zh-CN" w:bidi="ar-SA"/>
        </w:rPr>
      </w:pPr>
    </w:p>
    <w:bookmarkEnd w:id="146"/>
    <w:p w14:paraId="389618BA">
      <w:pPr>
        <w:keepNext/>
        <w:numPr>
          <w:ilvl w:val="1"/>
          <w:numId w:val="11"/>
        </w:numPr>
        <w:bidi w:val="0"/>
        <w:spacing w:before="240" w:after="60"/>
        <w:outlineLvl w:val="1"/>
        <w:rPr>
          <w:rFonts w:ascii="Times New Roman" w:hAnsi="Times New Roman" w:eastAsia="宋体" w:cs="Times New Roman"/>
          <w:b/>
          <w:sz w:val="28"/>
          <w:highlight w:val="none"/>
          <w:lang w:val="fr-FR" w:eastAsia="zh-CN" w:bidi="ar-SA"/>
        </w:rPr>
      </w:pPr>
      <w:bookmarkStart w:id="147" w:name="_Toc31332"/>
      <w:bookmarkStart w:id="148" w:name="_Toc65836556"/>
      <w:r>
        <w:rPr>
          <w:rFonts w:hint="eastAsia" w:ascii="Times New Roman" w:hAnsi="Times New Roman" w:eastAsia="宋体" w:cs="Times New Roman"/>
          <w:b/>
          <w:sz w:val="28"/>
          <w:highlight w:val="none"/>
          <w:lang w:val="fr-FR" w:eastAsia="zh-CN" w:bidi="ar-SA"/>
        </w:rPr>
        <w:t>包装运输要求</w:t>
      </w:r>
      <w:bookmarkEnd w:id="147"/>
      <w:bookmarkEnd w:id="148"/>
    </w:p>
    <w:tbl>
      <w:tblPr>
        <w:tblStyle w:val="51"/>
        <w:tblW w:w="49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6703"/>
        <w:gridCol w:w="1443"/>
      </w:tblGrid>
      <w:tr w14:paraId="48EB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blHeader/>
          <w:jc w:val="center"/>
        </w:trPr>
        <w:tc>
          <w:tcPr>
            <w:tcW w:w="1096" w:type="dxa"/>
            <w:shd w:val="clear" w:color="auto" w:fill="BEBEBE"/>
            <w:noWrap w:val="0"/>
            <w:vAlign w:val="center"/>
          </w:tcPr>
          <w:p w14:paraId="7B7B78B5">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Calibri"/>
                <w:b/>
                <w:color w:val="000000"/>
                <w:kern w:val="0"/>
                <w:sz w:val="20"/>
                <w:szCs w:val="21"/>
                <w:highlight w:val="none"/>
                <w:lang w:val="fr-FR"/>
              </w:rPr>
              <w:t>编号</w:t>
            </w:r>
          </w:p>
        </w:tc>
        <w:tc>
          <w:tcPr>
            <w:tcW w:w="6704" w:type="dxa"/>
            <w:shd w:val="clear" w:color="auto" w:fill="BEBEBE"/>
            <w:noWrap w:val="0"/>
            <w:vAlign w:val="center"/>
          </w:tcPr>
          <w:p w14:paraId="1D15B37B">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Times New Roman"/>
                <w:b/>
                <w:bCs/>
                <w:kern w:val="0"/>
                <w:sz w:val="20"/>
                <w:szCs w:val="20"/>
                <w:highlight w:val="none"/>
                <w:lang w:val="fr-FR"/>
              </w:rPr>
              <w:t>要求内容</w:t>
            </w:r>
          </w:p>
        </w:tc>
        <w:tc>
          <w:tcPr>
            <w:tcW w:w="1443" w:type="dxa"/>
            <w:shd w:val="clear" w:color="auto" w:fill="BEBEBE"/>
            <w:noWrap w:val="0"/>
            <w:vAlign w:val="center"/>
          </w:tcPr>
          <w:p w14:paraId="2AE8A465">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Times New Roman"/>
                <w:b/>
                <w:bCs/>
                <w:kern w:val="0"/>
                <w:sz w:val="20"/>
                <w:szCs w:val="20"/>
                <w:highlight w:val="none"/>
                <w:lang w:val="fr-FR"/>
              </w:rPr>
              <w:t>必</w:t>
            </w:r>
            <w:r>
              <w:rPr>
                <w:rFonts w:hint="eastAsia" w:ascii="Calibri" w:hAnsi="Calibri" w:eastAsia="宋体" w:cs="Times New Roman"/>
                <w:b/>
                <w:bCs/>
                <w:kern w:val="0"/>
                <w:sz w:val="20"/>
                <w:szCs w:val="20"/>
                <w:highlight w:val="none"/>
                <w:lang w:val="en-US" w:eastAsia="zh-CN"/>
              </w:rPr>
              <w:t>需</w:t>
            </w:r>
            <w:r>
              <w:rPr>
                <w:rFonts w:ascii="Calibri" w:hAnsi="Calibri" w:eastAsia="宋体" w:cs="Times New Roman"/>
                <w:b/>
                <w:bCs/>
                <w:kern w:val="0"/>
                <w:sz w:val="20"/>
                <w:szCs w:val="20"/>
                <w:highlight w:val="none"/>
                <w:lang w:val="fr-FR"/>
              </w:rPr>
              <w:t>或期望</w:t>
            </w:r>
          </w:p>
        </w:tc>
      </w:tr>
      <w:tr w14:paraId="5A8F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1096" w:type="dxa"/>
            <w:noWrap w:val="0"/>
            <w:vAlign w:val="center"/>
          </w:tcPr>
          <w:p w14:paraId="6359CEB1">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704" w:type="dxa"/>
            <w:noWrap w:val="0"/>
            <w:vAlign w:val="center"/>
          </w:tcPr>
          <w:p w14:paraId="5EAAB448">
            <w:pPr>
              <w:keepNext w:val="0"/>
              <w:keepLines w:val="0"/>
              <w:pageBreakBefore w:val="0"/>
              <w:widowControl w:val="0"/>
              <w:tabs>
                <w:tab w:val="left" w:pos="360"/>
                <w:tab w:val="left" w:pos="435"/>
              </w:tabs>
              <w:kinsoku/>
              <w:wordWrap/>
              <w:overflowPunct/>
              <w:topLinePunct w:val="0"/>
              <w:autoSpaceDE/>
              <w:autoSpaceDN/>
              <w:bidi w:val="0"/>
              <w:adjustRightInd/>
              <w:snapToGrid w:val="0"/>
              <w:spacing w:line="360" w:lineRule="exact"/>
              <w:jc w:val="left"/>
              <w:textAlignment w:val="auto"/>
              <w:rPr>
                <w:rFonts w:ascii="Times New Roman" w:hAnsi="Times New Roman" w:eastAsia="宋体" w:cs="Times New Roman"/>
                <w:kern w:val="0"/>
                <w:sz w:val="20"/>
                <w:szCs w:val="21"/>
                <w:highlight w:val="none"/>
                <w:lang w:val="fr-FR"/>
              </w:rPr>
            </w:pPr>
            <w:r>
              <w:rPr>
                <w:rFonts w:ascii="Times New Roman" w:hAnsi="Times New Roman" w:eastAsia="宋体" w:cs="Times New Roman"/>
                <w:kern w:val="0"/>
                <w:sz w:val="20"/>
                <w:szCs w:val="21"/>
                <w:highlight w:val="none"/>
                <w:lang w:val="fr-FR"/>
              </w:rPr>
              <w:t>供应商应使用可靠的包装形式以保证运输安全，包装必须满足运输和装卸要求，防潮湿、防磕碰，由于包装不良而造成的任何</w:t>
            </w:r>
            <w:r>
              <w:rPr>
                <w:rFonts w:hint="eastAsia" w:ascii="Times New Roman" w:hAnsi="Times New Roman" w:eastAsia="宋体" w:cs="Times New Roman"/>
                <w:kern w:val="0"/>
                <w:sz w:val="20"/>
                <w:szCs w:val="21"/>
                <w:highlight w:val="none"/>
                <w:lang w:val="en-US" w:eastAsia="zh-CN"/>
              </w:rPr>
              <w:t>损坏</w:t>
            </w:r>
            <w:r>
              <w:rPr>
                <w:rFonts w:ascii="Times New Roman" w:hAnsi="Times New Roman" w:eastAsia="宋体" w:cs="Times New Roman"/>
                <w:kern w:val="0"/>
                <w:sz w:val="20"/>
                <w:szCs w:val="21"/>
                <w:highlight w:val="none"/>
                <w:lang w:val="fr-FR"/>
              </w:rPr>
              <w:t>，供方承担全部损失和费用</w:t>
            </w:r>
          </w:p>
        </w:tc>
        <w:tc>
          <w:tcPr>
            <w:tcW w:w="1443" w:type="dxa"/>
            <w:noWrap w:val="0"/>
            <w:vAlign w:val="center"/>
          </w:tcPr>
          <w:p w14:paraId="690A209C">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color w:val="FF0000"/>
                <w:kern w:val="0"/>
                <w:sz w:val="20"/>
                <w:szCs w:val="21"/>
                <w:highlight w:val="none"/>
                <w:lang w:val="fr-FR"/>
              </w:rPr>
            </w:pPr>
            <w:r>
              <w:rPr>
                <w:rFonts w:hint="eastAsia" w:ascii="Times New Roman" w:hAnsi="Times New Roman" w:eastAsia="宋体" w:cs="Times New Roman"/>
                <w:kern w:val="0"/>
                <w:sz w:val="20"/>
                <w:szCs w:val="21"/>
                <w:highlight w:val="none"/>
                <w:lang w:val="fr-FR"/>
              </w:rPr>
              <w:t>必需</w:t>
            </w:r>
          </w:p>
        </w:tc>
      </w:tr>
      <w:tr w14:paraId="36D3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96" w:type="dxa"/>
            <w:noWrap w:val="0"/>
            <w:vAlign w:val="center"/>
          </w:tcPr>
          <w:p w14:paraId="3C43CDD8">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704" w:type="dxa"/>
            <w:noWrap w:val="0"/>
            <w:vAlign w:val="center"/>
          </w:tcPr>
          <w:p w14:paraId="3DCB7BAB">
            <w:pPr>
              <w:keepNext w:val="0"/>
              <w:keepLines w:val="0"/>
              <w:pageBreakBefore w:val="0"/>
              <w:widowControl w:val="0"/>
              <w:tabs>
                <w:tab w:val="left" w:pos="360"/>
                <w:tab w:val="left" w:pos="435"/>
              </w:tabs>
              <w:kinsoku/>
              <w:wordWrap/>
              <w:overflowPunct/>
              <w:topLinePunct w:val="0"/>
              <w:autoSpaceDE/>
              <w:autoSpaceDN/>
              <w:bidi w:val="0"/>
              <w:adjustRightInd/>
              <w:snapToGrid w:val="0"/>
              <w:spacing w:line="360" w:lineRule="exact"/>
              <w:jc w:val="left"/>
              <w:textAlignment w:val="auto"/>
              <w:rPr>
                <w:rFonts w:ascii="Times New Roman" w:hAnsi="Times New Roman" w:eastAsia="宋体" w:cs="Times New Roman"/>
                <w:kern w:val="0"/>
                <w:sz w:val="20"/>
                <w:szCs w:val="21"/>
                <w:highlight w:val="none"/>
                <w:lang w:val="fr-FR"/>
              </w:rPr>
            </w:pPr>
            <w:r>
              <w:rPr>
                <w:rFonts w:ascii="Times New Roman" w:hAnsi="Times New Roman" w:eastAsia="宋体" w:cs="Times New Roman"/>
                <w:kern w:val="0"/>
                <w:sz w:val="20"/>
                <w:szCs w:val="21"/>
                <w:highlight w:val="none"/>
                <w:lang w:val="fr-FR"/>
              </w:rPr>
              <w:t>运输时间包含在供货周期内，供应商负责运输</w:t>
            </w:r>
            <w:r>
              <w:rPr>
                <w:rFonts w:hint="eastAsia" w:ascii="Times New Roman" w:hAnsi="Times New Roman" w:eastAsia="宋体" w:cs="Times New Roman"/>
                <w:kern w:val="0"/>
                <w:sz w:val="20"/>
                <w:szCs w:val="21"/>
                <w:highlight w:val="none"/>
                <w:lang w:val="en-US" w:eastAsia="zh-CN"/>
              </w:rPr>
              <w:t>，</w:t>
            </w:r>
            <w:r>
              <w:rPr>
                <w:rFonts w:ascii="Times New Roman" w:hAnsi="Times New Roman" w:eastAsia="宋体" w:cs="Times New Roman"/>
                <w:kern w:val="0"/>
                <w:sz w:val="20"/>
                <w:szCs w:val="21"/>
                <w:highlight w:val="none"/>
                <w:lang w:val="fr-FR"/>
              </w:rPr>
              <w:t>并承担运输费用</w:t>
            </w:r>
          </w:p>
        </w:tc>
        <w:tc>
          <w:tcPr>
            <w:tcW w:w="1443" w:type="dxa"/>
            <w:noWrap w:val="0"/>
            <w:vAlign w:val="center"/>
          </w:tcPr>
          <w:p w14:paraId="2A4197E9">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color w:val="FF0000"/>
                <w:kern w:val="0"/>
                <w:sz w:val="20"/>
                <w:szCs w:val="21"/>
                <w:highlight w:val="none"/>
                <w:lang w:val="fr-FR"/>
              </w:rPr>
            </w:pPr>
            <w:r>
              <w:rPr>
                <w:rFonts w:hint="eastAsia" w:ascii="Times New Roman" w:hAnsi="Times New Roman" w:eastAsia="宋体" w:cs="Times New Roman"/>
                <w:kern w:val="0"/>
                <w:sz w:val="20"/>
                <w:szCs w:val="21"/>
                <w:highlight w:val="none"/>
                <w:lang w:val="fr-FR"/>
              </w:rPr>
              <w:t>必需</w:t>
            </w:r>
          </w:p>
        </w:tc>
      </w:tr>
      <w:tr w14:paraId="7D16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96" w:type="dxa"/>
            <w:noWrap w:val="0"/>
            <w:vAlign w:val="center"/>
          </w:tcPr>
          <w:p w14:paraId="572B0A2F">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704" w:type="dxa"/>
            <w:noWrap w:val="0"/>
            <w:vAlign w:val="center"/>
          </w:tcPr>
          <w:p w14:paraId="02084482">
            <w:pPr>
              <w:keepNext w:val="0"/>
              <w:keepLines w:val="0"/>
              <w:pageBreakBefore w:val="0"/>
              <w:widowControl w:val="0"/>
              <w:tabs>
                <w:tab w:val="left" w:pos="360"/>
                <w:tab w:val="left" w:pos="435"/>
              </w:tabs>
              <w:kinsoku/>
              <w:wordWrap/>
              <w:overflowPunct/>
              <w:topLinePunct w:val="0"/>
              <w:autoSpaceDE/>
              <w:autoSpaceDN/>
              <w:bidi w:val="0"/>
              <w:adjustRightInd/>
              <w:snapToGrid w:val="0"/>
              <w:spacing w:line="360" w:lineRule="exact"/>
              <w:jc w:val="left"/>
              <w:textAlignment w:val="auto"/>
              <w:rPr>
                <w:rFonts w:hint="default" w:ascii="Times New Roman" w:hAnsi="Times New Roman" w:eastAsia="宋体" w:cs="Times New Roman"/>
                <w:kern w:val="0"/>
                <w:sz w:val="20"/>
                <w:szCs w:val="21"/>
                <w:highlight w:val="none"/>
                <w:lang w:val="en-US" w:eastAsia="zh-CN"/>
              </w:rPr>
            </w:pPr>
            <w:r>
              <w:rPr>
                <w:rFonts w:ascii="Times New Roman" w:hAnsi="Times New Roman" w:eastAsia="宋体" w:cs="Times New Roman"/>
                <w:kern w:val="0"/>
                <w:sz w:val="20"/>
                <w:szCs w:val="21"/>
                <w:highlight w:val="none"/>
                <w:lang w:val="fr-FR"/>
              </w:rPr>
              <w:t>供应商负责</w:t>
            </w:r>
            <w:r>
              <w:rPr>
                <w:rFonts w:hint="eastAsia" w:ascii="Times New Roman" w:hAnsi="Times New Roman" w:eastAsia="宋体" w:cs="Times New Roman"/>
                <w:kern w:val="0"/>
                <w:sz w:val="20"/>
                <w:szCs w:val="21"/>
                <w:highlight w:val="none"/>
                <w:lang w:val="en-US" w:eastAsia="zh-CN"/>
              </w:rPr>
              <w:t>装卸货，</w:t>
            </w:r>
            <w:r>
              <w:rPr>
                <w:rFonts w:ascii="Times New Roman" w:hAnsi="Times New Roman" w:eastAsia="宋体" w:cs="Times New Roman"/>
                <w:kern w:val="0"/>
                <w:sz w:val="20"/>
                <w:szCs w:val="21"/>
                <w:highlight w:val="none"/>
                <w:lang w:val="fr-FR"/>
              </w:rPr>
              <w:t>并承担费用</w:t>
            </w:r>
          </w:p>
        </w:tc>
        <w:tc>
          <w:tcPr>
            <w:tcW w:w="1443" w:type="dxa"/>
            <w:noWrap w:val="0"/>
            <w:vAlign w:val="center"/>
          </w:tcPr>
          <w:p w14:paraId="6C6806F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FF0000"/>
                <w:kern w:val="0"/>
                <w:sz w:val="20"/>
                <w:szCs w:val="21"/>
                <w:highlight w:val="none"/>
                <w:lang w:val="fr-FR" w:eastAsia="zh-CN"/>
              </w:rPr>
            </w:pPr>
            <w:r>
              <w:rPr>
                <w:rFonts w:hint="eastAsia" w:ascii="Times New Roman" w:hAnsi="Times New Roman" w:eastAsia="宋体" w:cs="Times New Roman"/>
                <w:kern w:val="0"/>
                <w:sz w:val="20"/>
                <w:szCs w:val="21"/>
                <w:highlight w:val="none"/>
                <w:lang w:val="en-US" w:eastAsia="zh-CN"/>
              </w:rPr>
              <w:t>必需</w:t>
            </w:r>
          </w:p>
        </w:tc>
      </w:tr>
      <w:tr w14:paraId="76FE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1096" w:type="dxa"/>
            <w:noWrap w:val="0"/>
            <w:vAlign w:val="center"/>
          </w:tcPr>
          <w:p w14:paraId="6A077A66">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704" w:type="dxa"/>
            <w:noWrap w:val="0"/>
            <w:vAlign w:val="center"/>
          </w:tcPr>
          <w:p w14:paraId="78287E9E">
            <w:pPr>
              <w:keepNext w:val="0"/>
              <w:keepLines w:val="0"/>
              <w:pageBreakBefore w:val="0"/>
              <w:widowControl w:val="0"/>
              <w:tabs>
                <w:tab w:val="left" w:pos="360"/>
                <w:tab w:val="left" w:pos="435"/>
              </w:tabs>
              <w:kinsoku/>
              <w:wordWrap/>
              <w:overflowPunct/>
              <w:topLinePunct w:val="0"/>
              <w:autoSpaceDE/>
              <w:autoSpaceDN/>
              <w:bidi w:val="0"/>
              <w:adjustRightInd/>
              <w:snapToGrid w:val="0"/>
              <w:spacing w:line="360" w:lineRule="exact"/>
              <w:jc w:val="left"/>
              <w:textAlignment w:val="auto"/>
              <w:rPr>
                <w:rFonts w:hint="default" w:ascii="Times New Roman" w:hAnsi="Times New Roman" w:eastAsia="宋体" w:cs="Times New Roman"/>
                <w:kern w:val="0"/>
                <w:sz w:val="20"/>
                <w:szCs w:val="21"/>
                <w:highlight w:val="none"/>
                <w:lang w:val="en-US"/>
              </w:rPr>
            </w:pPr>
            <w:r>
              <w:rPr>
                <w:rFonts w:hint="eastAsia" w:ascii="Times New Roman" w:hAnsi="Times New Roman" w:eastAsia="宋体" w:cs="Times New Roman"/>
                <w:kern w:val="0"/>
                <w:sz w:val="20"/>
                <w:szCs w:val="21"/>
                <w:highlight w:val="none"/>
                <w:lang w:val="en-US" w:eastAsia="zh-CN"/>
              </w:rPr>
              <w:t>卸货的仓储区域需上楼时，供应商负责将货物送至指定区域，并承担费用</w:t>
            </w:r>
          </w:p>
        </w:tc>
        <w:tc>
          <w:tcPr>
            <w:tcW w:w="1443" w:type="dxa"/>
            <w:noWrap w:val="0"/>
            <w:vAlign w:val="center"/>
          </w:tcPr>
          <w:p w14:paraId="0094192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FF0000"/>
                <w:kern w:val="0"/>
                <w:sz w:val="20"/>
                <w:szCs w:val="21"/>
                <w:highlight w:val="none"/>
                <w:lang w:val="fr-FR" w:eastAsia="zh-CN"/>
              </w:rPr>
            </w:pPr>
            <w:r>
              <w:rPr>
                <w:rFonts w:hint="eastAsia" w:ascii="Times New Roman" w:hAnsi="Times New Roman" w:eastAsia="宋体" w:cs="Times New Roman"/>
                <w:kern w:val="0"/>
                <w:sz w:val="20"/>
                <w:szCs w:val="21"/>
                <w:highlight w:val="none"/>
                <w:lang w:val="en-US" w:eastAsia="zh-CN"/>
              </w:rPr>
              <w:t>期望</w:t>
            </w:r>
          </w:p>
        </w:tc>
      </w:tr>
    </w:tbl>
    <w:p w14:paraId="6DDEBE2F">
      <w:pPr>
        <w:widowControl/>
        <w:autoSpaceDE w:val="0"/>
        <w:autoSpaceDN w:val="0"/>
        <w:adjustRightInd w:val="0"/>
        <w:spacing w:after="120"/>
        <w:outlineLvl w:val="1"/>
        <w:rPr>
          <w:rFonts w:ascii="Times New Roman" w:hAnsi="Times New Roman" w:eastAsia="宋体" w:cs="Times New Roman"/>
          <w:color w:val="000000"/>
          <w:sz w:val="21"/>
          <w:szCs w:val="21"/>
          <w:highlight w:val="none"/>
          <w:lang w:val="en-US" w:eastAsia="zh-CN" w:bidi="ar-SA"/>
        </w:rPr>
      </w:pPr>
      <w:bookmarkStart w:id="149" w:name="_Toc65836559"/>
    </w:p>
    <w:p w14:paraId="773D8D6C">
      <w:pPr>
        <w:keepNext/>
        <w:numPr>
          <w:ilvl w:val="1"/>
          <w:numId w:val="11"/>
        </w:numPr>
        <w:bidi w:val="0"/>
        <w:spacing w:before="240" w:after="60"/>
        <w:outlineLvl w:val="1"/>
        <w:rPr>
          <w:rFonts w:ascii="Times New Roman" w:hAnsi="Times New Roman" w:eastAsia="宋体" w:cs="Times New Roman"/>
          <w:b/>
          <w:sz w:val="28"/>
          <w:highlight w:val="none"/>
          <w:lang w:val="fr-FR" w:eastAsia="zh-CN" w:bidi="ar-SA"/>
        </w:rPr>
      </w:pPr>
      <w:bookmarkStart w:id="150" w:name="_Toc25153"/>
      <w:bookmarkStart w:id="151" w:name="_Toc26620"/>
      <w:r>
        <w:rPr>
          <w:rFonts w:hint="eastAsia" w:ascii="Times New Roman" w:hAnsi="Times New Roman" w:eastAsia="宋体" w:cs="Times New Roman"/>
          <w:b/>
          <w:sz w:val="28"/>
          <w:highlight w:val="none"/>
          <w:lang w:val="fr-FR" w:eastAsia="zh-CN" w:bidi="ar-SA"/>
        </w:rPr>
        <w:t>文件资料要求</w:t>
      </w:r>
      <w:bookmarkEnd w:id="149"/>
      <w:bookmarkEnd w:id="150"/>
      <w:bookmarkEnd w:id="151"/>
    </w:p>
    <w:tbl>
      <w:tblPr>
        <w:tblStyle w:val="51"/>
        <w:tblW w:w="49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6659"/>
        <w:gridCol w:w="1282"/>
      </w:tblGrid>
      <w:tr w14:paraId="6A38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2" w:hRule="atLeast"/>
          <w:tblHeader/>
          <w:jc w:val="center"/>
        </w:trPr>
        <w:tc>
          <w:tcPr>
            <w:tcW w:w="1248" w:type="dxa"/>
            <w:shd w:val="clear" w:color="auto" w:fill="BEBEBE"/>
            <w:noWrap w:val="0"/>
            <w:vAlign w:val="center"/>
          </w:tcPr>
          <w:p w14:paraId="7E7A0B9A">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Calibri"/>
                <w:b/>
                <w:color w:val="000000"/>
                <w:kern w:val="0"/>
                <w:sz w:val="20"/>
                <w:szCs w:val="21"/>
                <w:highlight w:val="none"/>
                <w:lang w:val="fr-FR"/>
              </w:rPr>
              <w:t>编号</w:t>
            </w:r>
          </w:p>
        </w:tc>
        <w:tc>
          <w:tcPr>
            <w:tcW w:w="6659" w:type="dxa"/>
            <w:shd w:val="clear" w:color="auto" w:fill="BEBEBE"/>
            <w:noWrap w:val="0"/>
            <w:vAlign w:val="center"/>
          </w:tcPr>
          <w:p w14:paraId="3C262C2D">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Times New Roman"/>
                <w:b/>
                <w:bCs/>
                <w:kern w:val="0"/>
                <w:sz w:val="20"/>
                <w:szCs w:val="20"/>
                <w:highlight w:val="none"/>
                <w:lang w:val="fr-FR"/>
              </w:rPr>
              <w:t>要求内容</w:t>
            </w:r>
          </w:p>
        </w:tc>
        <w:tc>
          <w:tcPr>
            <w:tcW w:w="1282" w:type="dxa"/>
            <w:shd w:val="clear" w:color="auto" w:fill="BEBEBE"/>
            <w:noWrap w:val="0"/>
            <w:vAlign w:val="center"/>
          </w:tcPr>
          <w:p w14:paraId="2A03C62B">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Times New Roman"/>
                <w:b/>
                <w:bCs/>
                <w:kern w:val="0"/>
                <w:sz w:val="20"/>
                <w:szCs w:val="20"/>
                <w:highlight w:val="none"/>
                <w:lang w:val="fr-FR"/>
              </w:rPr>
              <w:t>必</w:t>
            </w:r>
            <w:r>
              <w:rPr>
                <w:rFonts w:hint="eastAsia" w:ascii="Calibri" w:hAnsi="Calibri" w:eastAsia="宋体" w:cs="Times New Roman"/>
                <w:b/>
                <w:bCs/>
                <w:kern w:val="0"/>
                <w:sz w:val="20"/>
                <w:szCs w:val="20"/>
                <w:highlight w:val="none"/>
                <w:lang w:val="en-US" w:eastAsia="zh-CN"/>
              </w:rPr>
              <w:t>需</w:t>
            </w:r>
            <w:r>
              <w:rPr>
                <w:rFonts w:ascii="Calibri" w:hAnsi="Calibri" w:eastAsia="宋体" w:cs="Times New Roman"/>
                <w:b/>
                <w:bCs/>
                <w:kern w:val="0"/>
                <w:sz w:val="20"/>
                <w:szCs w:val="20"/>
                <w:highlight w:val="none"/>
                <w:lang w:val="fr-FR"/>
              </w:rPr>
              <w:t>或期望</w:t>
            </w:r>
          </w:p>
        </w:tc>
      </w:tr>
      <w:tr w14:paraId="1C34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48" w:type="dxa"/>
            <w:noWrap w:val="0"/>
            <w:vAlign w:val="center"/>
          </w:tcPr>
          <w:p w14:paraId="5BB6426F">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659" w:type="dxa"/>
            <w:tcBorders>
              <w:top w:val="single" w:color="auto" w:sz="4" w:space="0"/>
              <w:left w:val="single" w:color="auto" w:sz="4" w:space="0"/>
              <w:bottom w:val="single" w:color="auto" w:sz="4" w:space="0"/>
              <w:right w:val="single" w:color="auto" w:sz="4" w:space="0"/>
            </w:tcBorders>
            <w:noWrap w:val="0"/>
            <w:vAlign w:val="center"/>
          </w:tcPr>
          <w:p w14:paraId="27AB0A64">
            <w:pPr>
              <w:widowControl/>
              <w:spacing w:line="360" w:lineRule="auto"/>
              <w:jc w:val="left"/>
              <w:rPr>
                <w:rFonts w:hint="eastAsia" w:ascii="宋体" w:hAnsi="宋体" w:eastAsia="宋体" w:cs="宋体"/>
                <w:kern w:val="0"/>
                <w:sz w:val="20"/>
                <w:szCs w:val="21"/>
                <w:highlight w:val="none"/>
                <w:lang w:val="fr-FR"/>
              </w:rPr>
            </w:pPr>
            <w:r>
              <w:rPr>
                <w:rFonts w:hint="eastAsia" w:ascii="宋体" w:hAnsi="宋体" w:eastAsia="宋体" w:cs="宋体"/>
                <w:kern w:val="0"/>
                <w:sz w:val="20"/>
                <w:szCs w:val="20"/>
                <w:highlight w:val="none"/>
                <w:lang w:val="en-US" w:eastAsia="zh-CN"/>
              </w:rPr>
              <w:t>供应商需提供相应的产品</w:t>
            </w:r>
            <w:r>
              <w:rPr>
                <w:rFonts w:hint="eastAsia" w:ascii="宋体" w:hAnsi="宋体" w:eastAsia="宋体" w:cs="宋体"/>
                <w:kern w:val="0"/>
                <w:sz w:val="20"/>
                <w:szCs w:val="20"/>
                <w:highlight w:val="none"/>
                <w:lang w:val="fr-FR"/>
              </w:rPr>
              <w:t>合格证书</w:t>
            </w:r>
          </w:p>
        </w:tc>
        <w:tc>
          <w:tcPr>
            <w:tcW w:w="1282" w:type="dxa"/>
            <w:noWrap w:val="0"/>
            <w:vAlign w:val="center"/>
          </w:tcPr>
          <w:p w14:paraId="0C095056">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color w:val="FF0000"/>
                <w:kern w:val="0"/>
                <w:sz w:val="20"/>
                <w:szCs w:val="21"/>
                <w:highlight w:val="none"/>
                <w:lang w:val="fr-FR"/>
              </w:rPr>
            </w:pPr>
            <w:r>
              <w:rPr>
                <w:rFonts w:hint="eastAsia" w:ascii="Times New Roman" w:hAnsi="Times New Roman" w:eastAsia="宋体" w:cs="Times New Roman"/>
                <w:kern w:val="0"/>
                <w:sz w:val="20"/>
                <w:szCs w:val="21"/>
                <w:highlight w:val="none"/>
                <w:lang w:val="fr-FR"/>
              </w:rPr>
              <w:t>必需</w:t>
            </w:r>
          </w:p>
        </w:tc>
      </w:tr>
      <w:tr w14:paraId="53FC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48" w:type="dxa"/>
            <w:noWrap w:val="0"/>
            <w:vAlign w:val="center"/>
          </w:tcPr>
          <w:p w14:paraId="27434895">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659" w:type="dxa"/>
            <w:tcBorders>
              <w:top w:val="single" w:color="auto" w:sz="4" w:space="0"/>
              <w:left w:val="single" w:color="auto" w:sz="4" w:space="0"/>
              <w:bottom w:val="single" w:color="auto" w:sz="4" w:space="0"/>
              <w:right w:val="single" w:color="auto" w:sz="4" w:space="0"/>
            </w:tcBorders>
            <w:noWrap w:val="0"/>
            <w:vAlign w:val="center"/>
          </w:tcPr>
          <w:p w14:paraId="78556A90">
            <w:pPr>
              <w:widowControl/>
              <w:jc w:val="left"/>
              <w:rPr>
                <w:rFonts w:hint="default" w:ascii="宋体" w:hAnsi="宋体" w:eastAsia="宋体" w:cs="宋体"/>
                <w:kern w:val="0"/>
                <w:sz w:val="20"/>
                <w:szCs w:val="21"/>
                <w:highlight w:val="none"/>
                <w:lang w:val="en-US" w:eastAsia="zh-CN"/>
              </w:rPr>
            </w:pPr>
            <w:r>
              <w:rPr>
                <w:rFonts w:hint="eastAsia" w:ascii="宋体" w:hAnsi="宋体" w:eastAsia="宋体" w:cs="宋体"/>
                <w:kern w:val="0"/>
                <w:sz w:val="20"/>
                <w:szCs w:val="20"/>
                <w:highlight w:val="none"/>
                <w:lang w:val="en-US" w:eastAsia="zh-CN"/>
              </w:rPr>
              <w:t>供应商需提供相应的生产资质证明</w:t>
            </w:r>
          </w:p>
        </w:tc>
        <w:tc>
          <w:tcPr>
            <w:tcW w:w="1282" w:type="dxa"/>
            <w:noWrap w:val="0"/>
            <w:vAlign w:val="center"/>
          </w:tcPr>
          <w:p w14:paraId="195BF8E9">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color w:val="FF0000"/>
                <w:kern w:val="0"/>
                <w:sz w:val="20"/>
                <w:szCs w:val="21"/>
                <w:highlight w:val="none"/>
                <w:lang w:val="fr-FR"/>
              </w:rPr>
            </w:pPr>
            <w:r>
              <w:rPr>
                <w:rFonts w:hint="eastAsia" w:ascii="Times New Roman" w:hAnsi="Times New Roman" w:eastAsia="宋体" w:cs="Times New Roman"/>
                <w:kern w:val="0"/>
                <w:sz w:val="20"/>
                <w:szCs w:val="21"/>
                <w:highlight w:val="none"/>
                <w:lang w:val="fr-FR"/>
              </w:rPr>
              <w:t>必需</w:t>
            </w:r>
          </w:p>
        </w:tc>
      </w:tr>
    </w:tbl>
    <w:p w14:paraId="1F9D9551">
      <w:pPr>
        <w:keepNext/>
        <w:numPr>
          <w:ilvl w:val="1"/>
          <w:numId w:val="11"/>
        </w:numPr>
        <w:bidi w:val="0"/>
        <w:spacing w:before="240" w:after="60"/>
        <w:outlineLvl w:val="1"/>
        <w:rPr>
          <w:rFonts w:ascii="Times New Roman" w:hAnsi="Times New Roman" w:eastAsia="宋体" w:cs="Times New Roman"/>
          <w:b/>
          <w:sz w:val="28"/>
          <w:highlight w:val="none"/>
          <w:lang w:val="fr-FR" w:eastAsia="zh-CN" w:bidi="ar-SA"/>
        </w:rPr>
      </w:pPr>
      <w:bookmarkStart w:id="152" w:name="_Toc28573"/>
      <w:bookmarkStart w:id="153" w:name="_Toc65836562"/>
      <w:bookmarkStart w:id="154" w:name="_Toc23065"/>
      <w:r>
        <w:rPr>
          <w:rFonts w:hint="eastAsia" w:ascii="Times New Roman" w:hAnsi="Times New Roman" w:eastAsia="宋体" w:cs="Times New Roman"/>
          <w:b/>
          <w:sz w:val="28"/>
          <w:highlight w:val="none"/>
          <w:lang w:val="en-US" w:eastAsia="zh-CN" w:bidi="ar-SA"/>
        </w:rPr>
        <w:t>售后服务</w:t>
      </w:r>
      <w:r>
        <w:rPr>
          <w:rFonts w:hint="eastAsia" w:ascii="Times New Roman" w:hAnsi="Times New Roman" w:eastAsia="宋体" w:cs="Times New Roman"/>
          <w:b/>
          <w:sz w:val="28"/>
          <w:highlight w:val="none"/>
          <w:lang w:val="fr-FR" w:eastAsia="zh-CN" w:bidi="ar-SA"/>
        </w:rPr>
        <w:t>要求</w:t>
      </w:r>
      <w:bookmarkEnd w:id="152"/>
      <w:bookmarkEnd w:id="153"/>
      <w:bookmarkEnd w:id="154"/>
    </w:p>
    <w:tbl>
      <w:tblPr>
        <w:tblStyle w:val="51"/>
        <w:tblW w:w="48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6633"/>
        <w:gridCol w:w="1249"/>
      </w:tblGrid>
      <w:tr w14:paraId="0A7D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blHeader/>
          <w:jc w:val="center"/>
        </w:trPr>
        <w:tc>
          <w:tcPr>
            <w:tcW w:w="1125" w:type="dxa"/>
            <w:shd w:val="clear" w:color="auto" w:fill="BEBEBE"/>
            <w:noWrap w:val="0"/>
            <w:vAlign w:val="center"/>
          </w:tcPr>
          <w:p w14:paraId="4E89164B">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Calibri"/>
                <w:b/>
                <w:color w:val="000000"/>
                <w:kern w:val="0"/>
                <w:sz w:val="20"/>
                <w:szCs w:val="21"/>
                <w:highlight w:val="none"/>
                <w:lang w:val="fr-FR"/>
              </w:rPr>
              <w:t>编号</w:t>
            </w:r>
          </w:p>
        </w:tc>
        <w:tc>
          <w:tcPr>
            <w:tcW w:w="6633" w:type="dxa"/>
            <w:shd w:val="clear" w:color="auto" w:fill="BEBEBE"/>
            <w:noWrap w:val="0"/>
            <w:vAlign w:val="center"/>
          </w:tcPr>
          <w:p w14:paraId="6DDB852B">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Times New Roman"/>
                <w:b/>
                <w:bCs/>
                <w:kern w:val="0"/>
                <w:sz w:val="20"/>
                <w:szCs w:val="20"/>
                <w:highlight w:val="none"/>
                <w:lang w:val="fr-FR"/>
              </w:rPr>
              <w:t>要求内容</w:t>
            </w:r>
          </w:p>
        </w:tc>
        <w:tc>
          <w:tcPr>
            <w:tcW w:w="1249" w:type="dxa"/>
            <w:shd w:val="clear" w:color="auto" w:fill="BEBEBE"/>
            <w:noWrap w:val="0"/>
            <w:vAlign w:val="center"/>
          </w:tcPr>
          <w:p w14:paraId="5A5C5912">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kern w:val="0"/>
                <w:sz w:val="20"/>
                <w:szCs w:val="21"/>
                <w:highlight w:val="none"/>
                <w:lang w:val="fr-FR"/>
              </w:rPr>
            </w:pPr>
            <w:r>
              <w:rPr>
                <w:rFonts w:ascii="Calibri" w:hAnsi="Calibri" w:eastAsia="宋体" w:cs="Times New Roman"/>
                <w:b/>
                <w:bCs/>
                <w:kern w:val="0"/>
                <w:sz w:val="20"/>
                <w:szCs w:val="20"/>
                <w:highlight w:val="none"/>
                <w:lang w:val="fr-FR"/>
              </w:rPr>
              <w:t>必</w:t>
            </w:r>
            <w:r>
              <w:rPr>
                <w:rFonts w:hint="eastAsia" w:ascii="Calibri" w:hAnsi="Calibri" w:eastAsia="宋体" w:cs="Times New Roman"/>
                <w:b/>
                <w:bCs/>
                <w:kern w:val="0"/>
                <w:sz w:val="20"/>
                <w:szCs w:val="20"/>
                <w:highlight w:val="none"/>
                <w:lang w:val="en-US" w:eastAsia="zh-CN"/>
              </w:rPr>
              <w:t>需</w:t>
            </w:r>
            <w:r>
              <w:rPr>
                <w:rFonts w:ascii="Calibri" w:hAnsi="Calibri" w:eastAsia="宋体" w:cs="Times New Roman"/>
                <w:b/>
                <w:bCs/>
                <w:kern w:val="0"/>
                <w:sz w:val="20"/>
                <w:szCs w:val="20"/>
                <w:highlight w:val="none"/>
                <w:lang w:val="fr-FR"/>
              </w:rPr>
              <w:t>或期望</w:t>
            </w:r>
          </w:p>
        </w:tc>
      </w:tr>
      <w:tr w14:paraId="73E9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25" w:type="dxa"/>
            <w:noWrap w:val="0"/>
            <w:vAlign w:val="center"/>
          </w:tcPr>
          <w:p w14:paraId="6C9C96FF">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633" w:type="dxa"/>
            <w:noWrap w:val="0"/>
            <w:vAlign w:val="center"/>
          </w:tcPr>
          <w:p w14:paraId="114E443F">
            <w:pPr>
              <w:widowControl/>
              <w:snapToGrid w:val="0"/>
              <w:jc w:val="left"/>
              <w:rPr>
                <w:rFonts w:hint="eastAsia" w:ascii="Times New Roman" w:hAnsi="Times New Roman" w:eastAsia="宋体" w:cs="Times New Roman"/>
                <w:kern w:val="0"/>
                <w:sz w:val="20"/>
                <w:szCs w:val="22"/>
                <w:highlight w:val="none"/>
                <w:lang w:val="en-US" w:eastAsia="zh-CN" w:bidi="ar-SA"/>
              </w:rPr>
            </w:pPr>
            <w:r>
              <w:rPr>
                <w:rFonts w:hint="eastAsia" w:ascii="Times New Roman" w:hAnsi="Times New Roman" w:eastAsia="宋体" w:cs="Times New Roman"/>
                <w:kern w:val="0"/>
                <w:sz w:val="20"/>
                <w:szCs w:val="22"/>
                <w:highlight w:val="none"/>
                <w:lang w:val="en-GB" w:eastAsia="zh-CN" w:bidi="ar-SA"/>
              </w:rPr>
              <w:t>供应商应定期进行回访，解决</w:t>
            </w:r>
            <w:r>
              <w:rPr>
                <w:rFonts w:hint="eastAsia" w:ascii="Times New Roman" w:hAnsi="Times New Roman" w:eastAsia="宋体" w:cs="Times New Roman"/>
                <w:kern w:val="0"/>
                <w:sz w:val="20"/>
                <w:szCs w:val="22"/>
                <w:highlight w:val="none"/>
                <w:lang w:val="en-US" w:eastAsia="zh-CN" w:bidi="ar-SA"/>
              </w:rPr>
              <w:t>饲料在使用过程中出现的问题</w:t>
            </w:r>
            <w:r>
              <w:rPr>
                <w:rFonts w:hint="eastAsia" w:ascii="Times New Roman" w:hAnsi="Times New Roman" w:eastAsia="宋体" w:cs="Times New Roman"/>
                <w:kern w:val="0"/>
                <w:sz w:val="20"/>
                <w:szCs w:val="22"/>
                <w:highlight w:val="none"/>
                <w:lang w:val="en-GB" w:eastAsia="zh-CN" w:bidi="ar-SA"/>
              </w:rPr>
              <w:t>。</w:t>
            </w:r>
          </w:p>
        </w:tc>
        <w:tc>
          <w:tcPr>
            <w:tcW w:w="1249" w:type="dxa"/>
            <w:noWrap w:val="0"/>
            <w:vAlign w:val="center"/>
          </w:tcPr>
          <w:p w14:paraId="43009BA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kern w:val="0"/>
                <w:sz w:val="20"/>
                <w:szCs w:val="21"/>
                <w:highlight w:val="none"/>
                <w:lang w:val="fr-FR"/>
              </w:rPr>
            </w:pPr>
            <w:r>
              <w:rPr>
                <w:rFonts w:hint="eastAsia" w:ascii="Times New Roman" w:hAnsi="Times New Roman" w:eastAsia="宋体" w:cs="Times New Roman"/>
                <w:kern w:val="0"/>
                <w:sz w:val="20"/>
                <w:szCs w:val="21"/>
                <w:highlight w:val="none"/>
                <w:lang w:val="fr-FR"/>
              </w:rPr>
              <w:t>必需</w:t>
            </w:r>
          </w:p>
        </w:tc>
      </w:tr>
      <w:tr w14:paraId="3F64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125" w:type="dxa"/>
            <w:noWrap w:val="0"/>
            <w:vAlign w:val="center"/>
          </w:tcPr>
          <w:p w14:paraId="6E89F9B1">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633" w:type="dxa"/>
            <w:noWrap w:val="0"/>
            <w:vAlign w:val="center"/>
          </w:tcPr>
          <w:p w14:paraId="3C349B3E">
            <w:pPr>
              <w:tabs>
                <w:tab w:val="left" w:pos="709"/>
              </w:tabs>
              <w:adjustRightInd/>
              <w:snapToGrid/>
              <w:spacing w:before="120" w:beforeLines="50" w:line="276" w:lineRule="auto"/>
              <w:ind w:left="0" w:leftChars="0" w:firstLine="0" w:firstLineChars="0"/>
              <w:rPr>
                <w:rFonts w:hint="default" w:ascii="Times New Roman" w:hAnsi="Times New Roman" w:eastAsia="宋体" w:cs="Times New Roman"/>
                <w:szCs w:val="22"/>
                <w:highlight w:val="none"/>
                <w:lang w:val="en-US" w:eastAsia="zh-CN" w:bidi="ar-SA"/>
              </w:rPr>
            </w:pPr>
            <w:r>
              <w:rPr>
                <w:rFonts w:hint="eastAsia" w:ascii="Times New Roman" w:hAnsi="Times New Roman" w:eastAsia="宋体" w:cs="Times New Roman"/>
                <w:szCs w:val="22"/>
                <w:highlight w:val="none"/>
                <w:lang w:val="en-US" w:eastAsia="zh-CN" w:bidi="ar-SA"/>
              </w:rPr>
              <w:t>在使用过程中，如出现饲料质量问题造成的损失，由供应商负责</w:t>
            </w:r>
          </w:p>
        </w:tc>
        <w:tc>
          <w:tcPr>
            <w:tcW w:w="1249" w:type="dxa"/>
            <w:noWrap w:val="0"/>
            <w:vAlign w:val="center"/>
          </w:tcPr>
          <w:p w14:paraId="5F23993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kern w:val="0"/>
                <w:sz w:val="20"/>
                <w:szCs w:val="21"/>
                <w:highlight w:val="none"/>
                <w:lang w:val="fr-FR"/>
              </w:rPr>
            </w:pPr>
            <w:r>
              <w:rPr>
                <w:rFonts w:hint="eastAsia" w:ascii="Times New Roman" w:hAnsi="Times New Roman" w:eastAsia="宋体" w:cs="Times New Roman"/>
                <w:kern w:val="0"/>
                <w:sz w:val="20"/>
                <w:szCs w:val="21"/>
                <w:highlight w:val="none"/>
                <w:lang w:val="fr-FR"/>
              </w:rPr>
              <w:t>必需</w:t>
            </w:r>
          </w:p>
        </w:tc>
      </w:tr>
      <w:tr w14:paraId="5B78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125" w:type="dxa"/>
            <w:noWrap w:val="0"/>
            <w:vAlign w:val="center"/>
          </w:tcPr>
          <w:p w14:paraId="31518573">
            <w:pPr>
              <w:keepNext w:val="0"/>
              <w:keepLines w:val="0"/>
              <w:pageBreakBefore w:val="0"/>
              <w:widowControl w:val="0"/>
              <w:numPr>
                <w:ilvl w:val="0"/>
                <w:numId w:val="12"/>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s="Times New Roman"/>
                <w:color w:val="000000"/>
                <w:kern w:val="0"/>
                <w:sz w:val="20"/>
                <w:szCs w:val="21"/>
                <w:highlight w:val="none"/>
                <w:lang w:val="fr-FR"/>
              </w:rPr>
            </w:pPr>
          </w:p>
        </w:tc>
        <w:tc>
          <w:tcPr>
            <w:tcW w:w="6633" w:type="dxa"/>
            <w:noWrap w:val="0"/>
            <w:vAlign w:val="center"/>
          </w:tcPr>
          <w:p w14:paraId="0A6554DB">
            <w:pPr>
              <w:tabs>
                <w:tab w:val="left" w:pos="709"/>
              </w:tabs>
              <w:adjustRightInd/>
              <w:snapToGrid/>
              <w:spacing w:before="120" w:beforeLines="50" w:line="276" w:lineRule="auto"/>
              <w:ind w:left="0" w:leftChars="0" w:firstLine="0" w:firstLineChars="0"/>
              <w:rPr>
                <w:rFonts w:hint="default" w:ascii="Times New Roman" w:hAnsi="Times New Roman" w:eastAsia="宋体" w:cs="Times New Roman"/>
                <w:szCs w:val="22"/>
                <w:highlight w:val="none"/>
                <w:lang w:val="en-US" w:eastAsia="zh-CN" w:bidi="ar-SA"/>
              </w:rPr>
            </w:pPr>
            <w:r>
              <w:rPr>
                <w:rFonts w:hint="eastAsia" w:ascii="Times New Roman" w:hAnsi="Times New Roman" w:eastAsia="宋体" w:cs="Times New Roman"/>
                <w:szCs w:val="22"/>
                <w:highlight w:val="none"/>
                <w:lang w:val="en-US" w:eastAsia="zh-CN" w:bidi="ar-SA"/>
              </w:rPr>
              <w:t>供应商应提供最新生产日期的货品</w:t>
            </w:r>
          </w:p>
        </w:tc>
        <w:tc>
          <w:tcPr>
            <w:tcW w:w="1249" w:type="dxa"/>
            <w:noWrap w:val="0"/>
            <w:vAlign w:val="center"/>
          </w:tcPr>
          <w:p w14:paraId="1E90173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kern w:val="0"/>
                <w:sz w:val="20"/>
                <w:szCs w:val="21"/>
                <w:highlight w:val="none"/>
                <w:lang w:val="fr-FR"/>
              </w:rPr>
            </w:pPr>
            <w:r>
              <w:rPr>
                <w:rFonts w:hint="eastAsia" w:ascii="Times New Roman" w:hAnsi="Times New Roman" w:eastAsia="宋体" w:cs="Times New Roman"/>
                <w:kern w:val="0"/>
                <w:sz w:val="20"/>
                <w:szCs w:val="21"/>
                <w:highlight w:val="none"/>
                <w:lang w:val="fr-FR"/>
              </w:rPr>
              <w:t>必需</w:t>
            </w:r>
          </w:p>
        </w:tc>
      </w:tr>
    </w:tbl>
    <w:p w14:paraId="32D4235C">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83F2B"/>
    <w:multiLevelType w:val="multilevel"/>
    <w:tmpl w:val="8FA83F2B"/>
    <w:lvl w:ilvl="0" w:tentative="0">
      <w:start w:val="1"/>
      <mc:AlternateContent>
        <mc:Choice Requires="w14">
          <w:numFmt w:val="custom" w:format="001, 002, 003, ..."/>
        </mc:Choice>
        <mc:Fallback>
          <w:numFmt w:val="decimal"/>
        </mc:Fallback>
      </mc:AlternateContent>
      <w:lvlText w:val="URS%1"/>
      <w:lvlJc w:val="left"/>
      <w:pPr>
        <w:ind w:left="420" w:hanging="420"/>
      </w:pPr>
      <w:rPr>
        <w:rFonts w:hint="default" w:ascii="Times New Roman" w:hAnsi="Times New Roman" w:eastAsia="宋体" w:cs="Times New Roman"/>
        <w:b w:val="0"/>
        <w:color w:val="auto"/>
        <w:sz w:val="21"/>
        <w:szCs w:val="21"/>
      </w:rPr>
    </w:lvl>
    <w:lvl w:ilvl="1" w:tentative="0">
      <w:start w:val="1"/>
      <w:numFmt w:val="lowerLetter"/>
      <w:lvlText w:val="%2)"/>
      <w:lvlJc w:val="left"/>
      <w:pPr>
        <w:ind w:left="630" w:hanging="420"/>
      </w:pPr>
    </w:lvl>
    <w:lvl w:ilvl="2" w:tentative="0">
      <w:start w:val="1"/>
      <w:numFmt w:val="lowerRoman"/>
      <w:lvlText w:val="%3."/>
      <w:lvlJc w:val="right"/>
      <w:pPr>
        <w:ind w:left="1050" w:hanging="420"/>
      </w:pPr>
    </w:lvl>
    <w:lvl w:ilvl="3" w:tentative="0">
      <w:start w:val="1"/>
      <w:numFmt w:val="decimal"/>
      <w:lvlText w:val="%4."/>
      <w:lvlJc w:val="left"/>
      <w:pPr>
        <w:ind w:left="1470" w:hanging="420"/>
      </w:pPr>
    </w:lvl>
    <w:lvl w:ilvl="4" w:tentative="0">
      <w:start w:val="1"/>
      <w:numFmt w:val="lowerLetter"/>
      <w:lvlText w:val="%5)"/>
      <w:lvlJc w:val="left"/>
      <w:pPr>
        <w:ind w:left="1890" w:hanging="420"/>
      </w:pPr>
    </w:lvl>
    <w:lvl w:ilvl="5" w:tentative="0">
      <w:start w:val="1"/>
      <w:numFmt w:val="lowerRoman"/>
      <w:lvlText w:val="%6."/>
      <w:lvlJc w:val="right"/>
      <w:pPr>
        <w:ind w:left="2310" w:hanging="420"/>
      </w:pPr>
    </w:lvl>
    <w:lvl w:ilvl="6" w:tentative="0">
      <w:start w:val="1"/>
      <w:numFmt w:val="decimal"/>
      <w:lvlText w:val="%7."/>
      <w:lvlJc w:val="left"/>
      <w:pPr>
        <w:ind w:left="2730" w:hanging="420"/>
      </w:pPr>
    </w:lvl>
    <w:lvl w:ilvl="7" w:tentative="0">
      <w:start w:val="1"/>
      <w:numFmt w:val="lowerLetter"/>
      <w:lvlText w:val="%8)"/>
      <w:lvlJc w:val="left"/>
      <w:pPr>
        <w:ind w:left="3150" w:hanging="420"/>
      </w:pPr>
    </w:lvl>
    <w:lvl w:ilvl="8" w:tentative="0">
      <w:start w:val="1"/>
      <w:numFmt w:val="lowerRoman"/>
      <w:lvlText w:val="%9."/>
      <w:lvlJc w:val="right"/>
      <w:pPr>
        <w:ind w:left="3570" w:hanging="420"/>
      </w:p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3">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1224"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6">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0">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1">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2"/>
  </w:num>
  <w:num w:numId="3">
    <w:abstractNumId w:val="4"/>
  </w:num>
  <w:num w:numId="4">
    <w:abstractNumId w:val="11"/>
  </w:num>
  <w:num w:numId="5">
    <w:abstractNumId w:val="3"/>
  </w:num>
  <w:num w:numId="6">
    <w:abstractNumId w:val="10"/>
  </w:num>
  <w:num w:numId="7">
    <w:abstractNumId w:val="8"/>
  </w:num>
  <w:num w:numId="8">
    <w:abstractNumId w:val="6"/>
  </w:num>
  <w:num w:numId="9">
    <w:abstractNumId w:val="1"/>
  </w:num>
  <w:num w:numId="10">
    <w:abstractNumId w:val="9"/>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0E6513"/>
    <w:rsid w:val="0E175D7C"/>
    <w:rsid w:val="0E8F45F1"/>
    <w:rsid w:val="0FC90B63"/>
    <w:rsid w:val="100F10E1"/>
    <w:rsid w:val="10311475"/>
    <w:rsid w:val="10D26947"/>
    <w:rsid w:val="114C6D7B"/>
    <w:rsid w:val="119D1D5C"/>
    <w:rsid w:val="124848DD"/>
    <w:rsid w:val="12AF40AF"/>
    <w:rsid w:val="13B9531E"/>
    <w:rsid w:val="142C6408"/>
    <w:rsid w:val="143E54A0"/>
    <w:rsid w:val="149208C7"/>
    <w:rsid w:val="17493924"/>
    <w:rsid w:val="17524BB4"/>
    <w:rsid w:val="17567E8F"/>
    <w:rsid w:val="17634B0D"/>
    <w:rsid w:val="17DD21C5"/>
    <w:rsid w:val="1A060CD7"/>
    <w:rsid w:val="1A8B2708"/>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7D5A35"/>
    <w:rsid w:val="22C96A86"/>
    <w:rsid w:val="238649B8"/>
    <w:rsid w:val="23AD4E1E"/>
    <w:rsid w:val="23E15550"/>
    <w:rsid w:val="24C741C2"/>
    <w:rsid w:val="250C47B0"/>
    <w:rsid w:val="25350541"/>
    <w:rsid w:val="25385C6B"/>
    <w:rsid w:val="256E4A38"/>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18555E"/>
    <w:rsid w:val="3D342B6E"/>
    <w:rsid w:val="3E7034D9"/>
    <w:rsid w:val="3F4534B5"/>
    <w:rsid w:val="402D4B16"/>
    <w:rsid w:val="40B567C2"/>
    <w:rsid w:val="40F23A4C"/>
    <w:rsid w:val="411A359C"/>
    <w:rsid w:val="430D7208"/>
    <w:rsid w:val="4366434B"/>
    <w:rsid w:val="437D37DC"/>
    <w:rsid w:val="44C73770"/>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544DFC"/>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0702262"/>
    <w:rsid w:val="61994029"/>
    <w:rsid w:val="61EA2C17"/>
    <w:rsid w:val="61F6744C"/>
    <w:rsid w:val="62662A93"/>
    <w:rsid w:val="635D0E7E"/>
    <w:rsid w:val="63827325"/>
    <w:rsid w:val="639F5962"/>
    <w:rsid w:val="64BC1D3B"/>
    <w:rsid w:val="64E01543"/>
    <w:rsid w:val="65130267"/>
    <w:rsid w:val="65402750"/>
    <w:rsid w:val="65EF46DF"/>
    <w:rsid w:val="687C4D07"/>
    <w:rsid w:val="68DA1A60"/>
    <w:rsid w:val="6A1D6B70"/>
    <w:rsid w:val="6A903AE2"/>
    <w:rsid w:val="6AF56893"/>
    <w:rsid w:val="6B085BBE"/>
    <w:rsid w:val="6B0C4773"/>
    <w:rsid w:val="6B277F37"/>
    <w:rsid w:val="6B6D0C14"/>
    <w:rsid w:val="6B716B29"/>
    <w:rsid w:val="6C741EF9"/>
    <w:rsid w:val="6D094D94"/>
    <w:rsid w:val="6DB0350A"/>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3074C7"/>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5187</Words>
  <Characters>5563</Characters>
  <Lines>243</Lines>
  <Paragraphs>68</Paragraphs>
  <TotalTime>0</TotalTime>
  <ScaleCrop>false</ScaleCrop>
  <LinksUpToDate>false</LinksUpToDate>
  <CharactersWithSpaces>6333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2026-09-10T08:12:01Z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19074D7912F34E1AA963F8C6FCA52E04_13</vt:lpwstr>
  </property>
  <property fmtid="{D5CDD505-2E9C-101B-9397-08002B2CF9AE}" pid="4" name="KSOTemplateDocerSaveRecord">
    <vt:lpwstr>eyJoZGlkIjoiOTAzM2U2NjM4NDdiYjJlYmU3YzY4YWI0ZWY3YjE0OTAiLCJ1c2VySWQiOiIxNDQzMTU3NzgzIn0=</vt:lpwstr>
  </property>
</Properties>
</file>