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52042286"/>
      <w:bookmarkStart w:id="1" w:name="_Toc144974478"/>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2"/>
        <w:spacing w:line="360" w:lineRule="auto"/>
        <w:ind w:left="1440" w:right="-22" w:firstLine="422"/>
        <w:rPr>
          <w:rFonts w:ascii="宋体" w:hAnsi="宋体"/>
          <w:b/>
          <w:szCs w:val="21"/>
          <w:highlight w:val="none"/>
        </w:rPr>
      </w:pPr>
    </w:p>
    <w:p>
      <w:pPr>
        <w:pStyle w:val="2"/>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WKZB-2025-038</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超滤膜包</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2"/>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2"/>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2"/>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2"/>
        <w:tabs>
          <w:tab w:val="left" w:pos="3675"/>
          <w:tab w:val="left" w:pos="5040"/>
        </w:tabs>
        <w:spacing w:line="360" w:lineRule="auto"/>
        <w:ind w:right="-22" w:firstLine="1476" w:firstLineChars="700"/>
        <w:rPr>
          <w:rFonts w:hint="eastAsia" w:ascii="宋体" w:hAnsi="宋体"/>
          <w:b/>
          <w:szCs w:val="21"/>
          <w:highlight w:val="none"/>
        </w:rPr>
      </w:pPr>
    </w:p>
    <w:p>
      <w:pPr>
        <w:pStyle w:val="2"/>
        <w:tabs>
          <w:tab w:val="left" w:pos="3675"/>
          <w:tab w:val="left" w:pos="5040"/>
        </w:tabs>
        <w:spacing w:line="360" w:lineRule="auto"/>
        <w:ind w:right="-22" w:firstLine="1476" w:firstLineChars="700"/>
        <w:rPr>
          <w:rFonts w:hint="eastAsia" w:ascii="宋体" w:hAnsi="宋体"/>
          <w:b/>
          <w:szCs w:val="21"/>
          <w:highlight w:val="none"/>
        </w:rPr>
      </w:pPr>
    </w:p>
    <w:p>
      <w:pPr>
        <w:pStyle w:val="2"/>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2"/>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十一</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109736025"/>
      <w:bookmarkStart w:id="3" w:name="_Toc390940504"/>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超滤膜包</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none"/>
          <w:lang w:val="en-US" w:eastAsia="zh-CN"/>
        </w:rPr>
        <w:t>WKZB-2025-038</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8276"/>
      <w:bookmarkStart w:id="10" w:name="_Toc24469"/>
      <w:bookmarkStart w:id="11" w:name="_Toc5989"/>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超滤膜包</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10698"/>
      <w:bookmarkStart w:id="13" w:name="_Toc6931"/>
      <w:bookmarkStart w:id="14" w:name="_Toc28608"/>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color w:val="FF0000"/>
          <w:szCs w:val="21"/>
          <w:highlight w:val="none"/>
          <w:lang w:val="en-US" w:bidi="zh-CN"/>
        </w:rPr>
        <w:t xml:space="preserve">超滤膜包 </w:t>
      </w:r>
    </w:p>
    <w:p>
      <w:pPr>
        <w:keepNext w:val="0"/>
        <w:keepLines w:val="0"/>
        <w:pageBreakBefore w:val="0"/>
        <w:kinsoku/>
        <w:wordWrap/>
        <w:overflowPunct/>
        <w:topLinePunct w:val="0"/>
        <w:autoSpaceDE w:val="0"/>
        <w:autoSpaceDN w:val="0"/>
        <w:bidi w:val="0"/>
        <w:adjustRightInd/>
        <w:snapToGrid/>
        <w:spacing w:line="360" w:lineRule="auto"/>
        <w:ind w:firstLine="630" w:firstLineChars="300"/>
        <w:jc w:val="left"/>
        <w:textAlignment w:val="auto"/>
        <w:outlineLvl w:val="9"/>
        <w:rPr>
          <w:rFonts w:hint="default" w:ascii="宋体" w:hAnsi="宋体" w:cs="宋体"/>
          <w:szCs w:val="21"/>
          <w:highlight w:val="none"/>
          <w:lang w:val="en-US" w:bidi="zh-CN"/>
        </w:rPr>
      </w:pPr>
      <w:r>
        <w:rPr>
          <w:rFonts w:hint="eastAsia"/>
          <w:color w:val="FF0000"/>
          <w:highlight w:val="none"/>
          <w:lang w:val="en-US" w:eastAsia="zh-CN"/>
        </w:rPr>
        <w:t>签订</w:t>
      </w:r>
      <w:r>
        <w:rPr>
          <w:rFonts w:hint="eastAsia" w:ascii="宋体" w:hAnsi="宋体" w:cs="宋体"/>
          <w:color w:val="FF0000"/>
          <w:szCs w:val="21"/>
          <w:highlight w:val="none"/>
          <w:lang w:val="en-US" w:bidi="zh-CN"/>
        </w:rPr>
        <w:t>年度采购框架合同</w:t>
      </w:r>
      <w:r>
        <w:rPr>
          <w:rFonts w:hint="eastAsia" w:ascii="宋体" w:hAnsi="宋体" w:cs="宋体"/>
          <w:szCs w:val="21"/>
          <w:highlight w:val="none"/>
          <w:lang w:val="en-US"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超滤膜包</w:t>
      </w:r>
      <w:r>
        <w:rPr>
          <w:rFonts w:hint="eastAsia" w:ascii="宋体" w:hAnsi="宋体" w:cs="宋体"/>
          <w:color w:val="FF0000"/>
          <w:szCs w:val="21"/>
          <w:highlight w:val="none"/>
          <w:lang w:val="zh-CN" w:bidi="zh-CN"/>
        </w:rPr>
        <w:t>采购</w:t>
      </w:r>
      <w:r>
        <w:rPr>
          <w:rFonts w:hint="eastAsia" w:ascii="宋体" w:hAnsi="宋体" w:cs="宋体"/>
          <w:szCs w:val="21"/>
          <w:highlight w:val="none"/>
          <w:lang w:val="zh-CN" w:bidi="zh-CN"/>
        </w:rPr>
        <w:t xml:space="preserve">;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963"/>
      <w:bookmarkStart w:id="16" w:name="_Toc23826"/>
      <w:bookmarkStart w:id="17" w:name="_Toc1584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超滤膜包</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color w:val="auto"/>
          <w:szCs w:val="21"/>
          <w:highlight w:val="none"/>
        </w:rPr>
        <w:t>具有</w:t>
      </w:r>
      <w:r>
        <w:rPr>
          <w:rFonts w:hint="eastAsia" w:ascii="宋体" w:hAnsi="宋体" w:cs="宋体"/>
          <w:bCs/>
          <w:szCs w:val="21"/>
          <w:highlight w:val="none"/>
        </w:rPr>
        <w:t>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8299"/>
      <w:bookmarkStart w:id="19" w:name="_Toc7377"/>
      <w:bookmarkStart w:id="20" w:name="_Toc31840"/>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6081"/>
      <w:bookmarkStart w:id="24" w:name="_Toc23490"/>
      <w:bookmarkStart w:id="25" w:name="_Toc28425"/>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7374"/>
      <w:bookmarkStart w:id="27" w:name="_Toc11141"/>
      <w:bookmarkStart w:id="28" w:name="_Toc21387"/>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商入围超滤膜包项目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4869"/>
      <w:bookmarkStart w:id="30" w:name="_Toc30277"/>
      <w:bookmarkStart w:id="31" w:name="_Toc161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1816"/>
      <w:bookmarkStart w:id="33" w:name="_Toc24185"/>
      <w:bookmarkStart w:id="34" w:name="_Toc32313"/>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09736026"/>
      <w:bookmarkStart w:id="36" w:name="_Toc152045527"/>
      <w:bookmarkStart w:id="37" w:name="_Toc390940505"/>
      <w:bookmarkStart w:id="38" w:name="_Toc25653"/>
      <w:bookmarkStart w:id="39" w:name="_Toc179632544"/>
      <w:bookmarkStart w:id="40" w:name="_Toc144974495"/>
      <w:bookmarkStart w:id="41" w:name="_Toc233102490"/>
      <w:bookmarkStart w:id="42" w:name="_Toc152042303"/>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20399"/>
      <w:bookmarkStart w:id="44" w:name="_Toc144974496"/>
      <w:bookmarkStart w:id="45" w:name="_Toc18804"/>
      <w:bookmarkStart w:id="46" w:name="_Toc152042304"/>
      <w:bookmarkStart w:id="47" w:name="_Toc152045528"/>
      <w:bookmarkStart w:id="48" w:name="_Toc233102491"/>
      <w:bookmarkStart w:id="49" w:name="_Toc109736027"/>
      <w:bookmarkStart w:id="50" w:name="_Toc179632545"/>
      <w:bookmarkStart w:id="51" w:name="_Toc390940506"/>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eastAsia" w:ascii="宋体" w:hAnsi="宋体" w:eastAsia="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rPr>
                <w:rFonts w:hint="eastAsia"/>
                <w:highlight w:val="none"/>
              </w:rPr>
            </w:pPr>
            <w:r>
              <w:rPr>
                <w:rFonts w:hint="eastAsia"/>
                <w:highlight w:val="none"/>
              </w:rPr>
              <w:t>产负债表、损益表（利润表）、现金流量表，有依法缴纳税收和社会</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szCs w:val="21"/>
                <w:highlight w:val="none"/>
              </w:rPr>
            </w:pPr>
            <w:r>
              <w:rPr>
                <w:rFonts w:hint="eastAsia" w:ascii="宋体" w:hAnsi="宋体"/>
                <w:szCs w:val="21"/>
                <w:highlight w:val="none"/>
              </w:rPr>
              <w:t>投标截止期：</w:t>
            </w:r>
            <w:r>
              <w:rPr>
                <w:rFonts w:hint="eastAsia" w:ascii="宋体" w:hAnsi="宋体"/>
                <w:b/>
                <w:bCs/>
                <w:szCs w:val="21"/>
                <w:highlight w:val="yellow"/>
                <w:u w:val="single"/>
              </w:rPr>
              <w:t>以招标公告时间为准（（北京时间）</w:t>
            </w:r>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color w:val="FF0000"/>
                <w:highlight w:val="none"/>
                <w:lang w:val="en-US" w:eastAsia="zh-CN"/>
              </w:rPr>
              <w:t>1-2</w:t>
            </w:r>
            <w:r>
              <w:rPr>
                <w:rFonts w:hint="eastAsia"/>
                <w:highlight w:val="none"/>
              </w:rPr>
              <w:t>家供应商，以实际订单为准。</w:t>
            </w:r>
          </w:p>
          <w:p>
            <w:pPr>
              <w:spacing w:line="360" w:lineRule="auto"/>
              <w:rPr>
                <w:rFonts w:hint="eastAsia"/>
                <w:color w:val="FF0000"/>
                <w:highlight w:val="none"/>
                <w:lang w:val="en-US" w:eastAsia="zh-CN"/>
              </w:rPr>
            </w:pPr>
            <w:r>
              <w:rPr>
                <w:rFonts w:hint="eastAsia"/>
                <w:highlight w:val="none"/>
              </w:rPr>
              <w:t>2、</w:t>
            </w:r>
            <w:r>
              <w:rPr>
                <w:rFonts w:hint="eastAsia"/>
                <w:color w:val="FF0000"/>
                <w:highlight w:val="none"/>
              </w:rPr>
              <w:t>付款方式：</w:t>
            </w:r>
            <w:r>
              <w:rPr>
                <w:rFonts w:hint="eastAsia"/>
                <w:color w:val="FF0000"/>
                <w:highlight w:val="none"/>
                <w:lang w:val="en-US" w:eastAsia="zh-CN"/>
              </w:rPr>
              <w:t>六个月款期，可接受50%银行承兑。</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ascii="宋体" w:hAnsi="宋体" w:cs="宋体"/>
                <w:color w:val="FF0000"/>
                <w:szCs w:val="21"/>
                <w:highlight w:val="none"/>
                <w:lang w:val="en-US" w:bidi="zh-CN"/>
              </w:rPr>
            </w:pPr>
            <w:r>
              <w:rPr>
                <w:rFonts w:hint="eastAsia"/>
                <w:highlight w:val="none"/>
              </w:rPr>
              <w:t>4、</w:t>
            </w:r>
            <w:r>
              <w:rPr>
                <w:rFonts w:hint="eastAsia" w:ascii="宋体" w:hAnsi="宋体" w:cs="宋体"/>
                <w:szCs w:val="21"/>
                <w:highlight w:val="none"/>
                <w:lang w:bidi="zh-CN"/>
              </w:rPr>
              <w:t>服务期限：</w:t>
            </w:r>
            <w:r>
              <w:rPr>
                <w:rFonts w:hint="eastAsia" w:ascii="宋体" w:hAnsi="宋体" w:cs="宋体"/>
                <w:color w:val="FF0000"/>
                <w:szCs w:val="21"/>
                <w:highlight w:val="none"/>
                <w:lang w:val="en-US" w:bidi="zh-CN"/>
              </w:rPr>
              <w:t>一年</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520356143"/>
      <w:bookmarkStart w:id="53" w:name="_Toc216582805"/>
      <w:bookmarkStart w:id="54" w:name="_Toc109736028"/>
      <w:bookmarkStart w:id="55" w:name="_Toc144974497"/>
      <w:bookmarkStart w:id="56" w:name="_Toc179632546"/>
      <w:bookmarkStart w:id="57" w:name="_Toc152042305"/>
      <w:bookmarkStart w:id="58" w:name="_Toc152045529"/>
      <w:bookmarkStart w:id="59" w:name="_Toc233102492"/>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520356144"/>
      <w:bookmarkStart w:id="62" w:name="_Toc27571"/>
      <w:bookmarkStart w:id="63" w:name="_Toc109736029"/>
      <w:bookmarkStart w:id="64" w:name="_Toc17941"/>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541"/>
      <w:bookmarkStart w:id="66" w:name="_Toc29658"/>
      <w:bookmarkStart w:id="67" w:name="_Toc109736030"/>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109736031"/>
      <w:bookmarkStart w:id="69" w:name="_Toc30223"/>
      <w:bookmarkStart w:id="70" w:name="_Toc520356145"/>
      <w:bookmarkStart w:id="71" w:name="_Toc205"/>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27623"/>
      <w:bookmarkStart w:id="73" w:name="_Toc472"/>
      <w:bookmarkStart w:id="74" w:name="_Toc109736032"/>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216582806"/>
      <w:bookmarkStart w:id="76" w:name="_Toc520356146"/>
      <w:bookmarkStart w:id="77" w:name="_Toc1810"/>
      <w:bookmarkStart w:id="78" w:name="_Toc109736033"/>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520356147"/>
      <w:bookmarkStart w:id="80" w:name="_Toc109736034"/>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109736035"/>
      <w:bookmarkStart w:id="82" w:name="_Toc520356148"/>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Ref467378678"/>
      <w:bookmarkStart w:id="84" w:name="_Toc109736036"/>
      <w:bookmarkStart w:id="85" w:name="_Toc520356149"/>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520356150"/>
      <w:bookmarkStart w:id="88" w:name="_Toc216582807"/>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8001"/>
      <w:bookmarkStart w:id="90" w:name="_Toc109736037"/>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16367021"/>
      <w:bookmarkStart w:id="92" w:name="_Toc109736038"/>
      <w:bookmarkStart w:id="93" w:name="_Toc520356151"/>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676"/>
      <w:bookmarkStart w:id="95" w:name="_Ref467306195"/>
      <w:bookmarkStart w:id="96" w:name="_Toc516367022"/>
      <w:bookmarkStart w:id="97" w:name="_Toc109736039"/>
      <w:bookmarkStart w:id="98" w:name="_Toc520356152"/>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6204"/>
      <w:bookmarkStart w:id="101" w:name="_Hlt520274929"/>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109736040"/>
      <w:bookmarkStart w:id="103" w:name="_Toc520356153"/>
      <w:bookmarkStart w:id="104" w:name="_Toc51636702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520356155"/>
      <w:bookmarkStart w:id="107" w:name="_Toc109736041"/>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109736042"/>
      <w:bookmarkStart w:id="109" w:name="_Ref467306513"/>
      <w:bookmarkStart w:id="110" w:name="_Toc520356156"/>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520356157"/>
      <w:bookmarkStart w:id="114" w:name="_Toc109736043"/>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109736045"/>
      <w:bookmarkStart w:id="118" w:name="_Toc23629"/>
      <w:bookmarkStart w:id="119" w:name="_Toc216582808"/>
      <w:bookmarkStart w:id="120" w:name="_Toc520356159"/>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109736046"/>
      <w:bookmarkStart w:id="122" w:name="_Toc520356160"/>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109736047"/>
      <w:bookmarkStart w:id="124" w:name="_Toc520356161"/>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520356162"/>
      <w:bookmarkStart w:id="126" w:name="_Toc109736048"/>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23762"/>
      <w:bookmarkStart w:id="128" w:name="_Toc109736049"/>
      <w:bookmarkStart w:id="129" w:name="_Toc216582809"/>
      <w:bookmarkStart w:id="130" w:name="_Toc520356163"/>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520356164"/>
      <w:bookmarkStart w:id="132" w:name="_Toc109736050"/>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216582810"/>
      <w:bookmarkStart w:id="143" w:name="_Toc6900"/>
      <w:bookmarkStart w:id="144" w:name="_Toc109736055"/>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Ref467307010"/>
      <w:bookmarkStart w:id="146" w:name="_Toc109736056"/>
      <w:bookmarkStart w:id="147" w:name="_Toc52035617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Ref467306874"/>
      <w:bookmarkStart w:id="151" w:name="_Toc520356173"/>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Toc109736060"/>
      <w:bookmarkStart w:id="156" w:name="_Ref467307062"/>
      <w:bookmarkStart w:id="157" w:name="_Toc520356175"/>
      <w:bookmarkStart w:id="158" w:name="_Ref467306978"/>
      <w:bookmarkStart w:id="159" w:name="_Ref467307204"/>
      <w:bookmarkStart w:id="160" w:name="_Ref46730637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Toc520356176"/>
      <w:bookmarkStart w:id="162" w:name="_Ref467307090"/>
      <w:bookmarkStart w:id="163" w:name="_Ref467306425"/>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4"/>
        <w:rPr>
          <w:rFonts w:hint="eastAsia" w:ascii="宋体" w:hAnsi="宋体" w:eastAsia="宋体"/>
          <w:sz w:val="21"/>
          <w:szCs w:val="21"/>
          <w:highlight w:val="none"/>
        </w:rPr>
      </w:pPr>
      <w:bookmarkStart w:id="169" w:name="_Toc11185"/>
      <w:bookmarkStart w:id="170" w:name="_Toc10973606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9214"/>
      <w:bookmarkStart w:id="172" w:name="_Ref467379101"/>
      <w:bookmarkStart w:id="173" w:name="_Ref467379109"/>
      <w:bookmarkStart w:id="174" w:name="_Toc415222497"/>
      <w:bookmarkStart w:id="175" w:name="_Ref467378463"/>
      <w:bookmarkStart w:id="176" w:name="_Ref467378404"/>
      <w:bookmarkStart w:id="177" w:name="_Ref467379225"/>
      <w:bookmarkStart w:id="178" w:name="_Ref467379094"/>
      <w:bookmarkStart w:id="179" w:name="_Ref467379195"/>
      <w:bookmarkStart w:id="180" w:name="_Ref467379205"/>
      <w:bookmarkStart w:id="181" w:name="_Toc487900349"/>
      <w:bookmarkStart w:id="182" w:name="_Ref467378499"/>
      <w:bookmarkStart w:id="183" w:name="_Toc11182"/>
      <w:bookmarkStart w:id="184" w:name="_Toc31576"/>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31740"/>
      <w:bookmarkStart w:id="189" w:name="_Toc487900350"/>
      <w:bookmarkStart w:id="190" w:name="_Toc10889"/>
      <w:bookmarkStart w:id="191" w:name="_Toc415222498"/>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2425"/>
      <w:bookmarkStart w:id="193" w:name="_Toc10492"/>
      <w:bookmarkStart w:id="194" w:name="_Toc415222499"/>
      <w:bookmarkStart w:id="195" w:name="_Toc487900351"/>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693"/>
      <w:bookmarkStart w:id="197" w:name="_Toc487900352"/>
      <w:bookmarkStart w:id="198" w:name="_Toc415222500"/>
      <w:bookmarkStart w:id="199" w:name="_Toc18031"/>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415222501"/>
      <w:bookmarkStart w:id="201" w:name="_Toc1323"/>
      <w:bookmarkStart w:id="202" w:name="_Toc17967"/>
      <w:bookmarkStart w:id="203" w:name="_Toc487900353"/>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Ref467378591"/>
      <w:bookmarkStart w:id="205" w:name="_Ref467378541"/>
      <w:bookmarkStart w:id="206" w:name="_Toc18715"/>
      <w:bookmarkStart w:id="207" w:name="_Ref467379536"/>
      <w:bookmarkStart w:id="208" w:name="_Ref467379542"/>
      <w:bookmarkStart w:id="209" w:name="_Toc11864"/>
      <w:bookmarkStart w:id="210" w:name="_Toc487900354"/>
      <w:bookmarkStart w:id="211" w:name="_Ref467379527"/>
      <w:bookmarkStart w:id="212" w:name="_Toc415222502"/>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6625"/>
      <w:bookmarkStart w:id="215" w:name="_Toc487900355"/>
      <w:bookmarkStart w:id="216" w:name="_Toc12437"/>
      <w:bookmarkStart w:id="217" w:name="_Toc415222503"/>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Ref467379793"/>
      <w:bookmarkStart w:id="219" w:name="_Toc487900357"/>
      <w:bookmarkStart w:id="220" w:name="_Toc415222504"/>
      <w:bookmarkStart w:id="221" w:name="_Toc15361"/>
      <w:bookmarkStart w:id="222" w:name="_Toc26337"/>
      <w:bookmarkStart w:id="223" w:name="_Ref467379807"/>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Toc415222505"/>
      <w:bookmarkStart w:id="225" w:name="_Toc487900358"/>
      <w:bookmarkStart w:id="226" w:name="_Ref467379923"/>
      <w:bookmarkStart w:id="227" w:name="_Ref467379863"/>
      <w:bookmarkStart w:id="228" w:name="_Ref467379852"/>
      <w:bookmarkStart w:id="229" w:name="_Toc1380"/>
      <w:bookmarkStart w:id="230" w:name="_Toc6588"/>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Toc487900359"/>
      <w:bookmarkStart w:id="232" w:name="_Ref467379937"/>
      <w:bookmarkStart w:id="233" w:name="_Toc28649"/>
      <w:bookmarkStart w:id="234" w:name="_Ref467379946"/>
      <w:bookmarkStart w:id="235" w:name="_Toc415222506"/>
      <w:bookmarkStart w:id="236" w:name="_Ref467377798"/>
      <w:bookmarkStart w:id="237" w:name="_Ref467377962"/>
      <w:bookmarkStart w:id="238" w:name="_Toc15447"/>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Toc487900360"/>
      <w:bookmarkStart w:id="240" w:name="_Ref467378018"/>
      <w:bookmarkStart w:id="241" w:name="_Toc415222507"/>
      <w:bookmarkStart w:id="242" w:name="_Toc11317"/>
      <w:bookmarkStart w:id="243" w:name="_Toc7155"/>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21509"/>
      <w:bookmarkStart w:id="245" w:name="_Toc415222508"/>
      <w:bookmarkStart w:id="246" w:name="_Toc487900361"/>
      <w:bookmarkStart w:id="247" w:name="_Toc31728"/>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415222509"/>
      <w:bookmarkStart w:id="250" w:name="_Toc31482"/>
      <w:bookmarkStart w:id="251" w:name="_Toc487900362"/>
      <w:bookmarkStart w:id="252" w:name="_Toc15086"/>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3725"/>
      <w:bookmarkStart w:id="254" w:name="_Toc415222510"/>
      <w:bookmarkStart w:id="255" w:name="_Toc19929"/>
      <w:bookmarkStart w:id="256" w:name="_Toc487900363"/>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Toc487900364"/>
      <w:bookmarkStart w:id="258" w:name="_Toc22040"/>
      <w:bookmarkStart w:id="259" w:name="_Toc6322"/>
      <w:bookmarkStart w:id="260" w:name="_Ref467378121"/>
      <w:bookmarkStart w:id="261" w:name="_Toc415222511"/>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487900365"/>
      <w:bookmarkStart w:id="263" w:name="_Toc1755"/>
      <w:bookmarkStart w:id="264" w:name="_Toc29320"/>
      <w:bookmarkStart w:id="265" w:name="_Toc415222512"/>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21788"/>
      <w:bookmarkStart w:id="269" w:name="_Toc17669"/>
      <w:bookmarkStart w:id="270" w:name="_Toc415222513"/>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415222514"/>
      <w:bookmarkStart w:id="272" w:name="_Toc9543"/>
      <w:bookmarkStart w:id="273" w:name="_Toc16231"/>
      <w:bookmarkStart w:id="274" w:name="_Toc487900367"/>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22065"/>
      <w:bookmarkStart w:id="277" w:name="_Toc487900368"/>
      <w:bookmarkStart w:id="278" w:name="_Toc23904"/>
      <w:bookmarkStart w:id="279" w:name="_Toc415222515"/>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415222516"/>
      <w:bookmarkStart w:id="281" w:name="_Toc29725"/>
      <w:bookmarkStart w:id="282" w:name="_Toc10385"/>
      <w:bookmarkStart w:id="283" w:name="_Toc487900369"/>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13194"/>
      <w:bookmarkStart w:id="285" w:name="_Toc487900370"/>
      <w:bookmarkStart w:id="286" w:name="_Toc415222517"/>
      <w:bookmarkStart w:id="287" w:name="_Toc2142"/>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487900371"/>
      <w:bookmarkStart w:id="289" w:name="_Toc737"/>
      <w:bookmarkStart w:id="290" w:name="_Toc14345"/>
      <w:bookmarkStart w:id="291" w:name="_Toc415222518"/>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27508"/>
      <w:bookmarkStart w:id="293" w:name="_Toc487900372"/>
      <w:bookmarkStart w:id="294" w:name="_Toc415222519"/>
      <w:bookmarkStart w:id="295" w:name="_Toc30523"/>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23747"/>
      <w:bookmarkStart w:id="297" w:name="_Toc487900373"/>
      <w:bookmarkStart w:id="298" w:name="_Toc28567"/>
      <w:bookmarkStart w:id="299" w:name="_Toc415222520"/>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415222521"/>
      <w:bookmarkStart w:id="301" w:name="_Toc5896"/>
      <w:bookmarkStart w:id="302" w:name="_Toc26432"/>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26939"/>
      <w:bookmarkStart w:id="305" w:name="_Toc31958"/>
      <w:bookmarkStart w:id="306" w:name="_Toc415222522"/>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8935339"/>
      <w:bookmarkStart w:id="308" w:name="_Toc216513786"/>
      <w:bookmarkStart w:id="309" w:name="_Toc219175623"/>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4088"/>
      <w:bookmarkStart w:id="311" w:name="_Toc109736066"/>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2"/>
        <w:spacing w:line="360" w:lineRule="auto"/>
        <w:ind w:left="540" w:leftChars="257"/>
        <w:rPr>
          <w:rFonts w:hint="eastAsia" w:ascii="宋体" w:hAnsi="宋体" w:cs="宋体"/>
          <w:szCs w:val="21"/>
          <w:highlight w:val="none"/>
        </w:rPr>
      </w:pPr>
    </w:p>
    <w:p>
      <w:pPr>
        <w:pStyle w:val="2"/>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19175636"/>
      <w:bookmarkStart w:id="314" w:name="_Toc15903"/>
      <w:bookmarkStart w:id="315" w:name="_Toc218935352"/>
      <w:bookmarkStart w:id="316" w:name="_Toc27454"/>
      <w:bookmarkStart w:id="317" w:name="_Toc220229326"/>
      <w:bookmarkStart w:id="318" w:name="_Toc220229431"/>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19863"/>
      <w:bookmarkStart w:id="320" w:name="_Toc7540"/>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25119"/>
      <w:bookmarkStart w:id="322" w:name="_Toc8396"/>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13500"/>
      <w:bookmarkStart w:id="324" w:name="_Toc22189"/>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18819"/>
      <w:bookmarkStart w:id="326" w:name="_Toc888"/>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7674"/>
      <w:bookmarkStart w:id="328" w:name="_Toc30466"/>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4"/>
        <w:rPr>
          <w:rFonts w:hint="eastAsia" w:ascii="宋体" w:hAnsi="宋体" w:eastAsia="宋体" w:cs="仿宋"/>
          <w:bCs w:val="0"/>
          <w:color w:val="FF0000"/>
          <w:sz w:val="24"/>
          <w:szCs w:val="24"/>
          <w:highlight w:val="none"/>
        </w:rPr>
      </w:pPr>
      <w:bookmarkStart w:id="329" w:name="_Toc109736067"/>
      <w:bookmarkStart w:id="330" w:name="_Toc21041"/>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投标人负责货物运输、卸货及培训。</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default" w:ascii="宋体" w:hAnsi="宋体"/>
          <w:color w:val="FF0000"/>
          <w:szCs w:val="21"/>
          <w:highlight w:val="none"/>
          <w:lang w:val="en-US"/>
        </w:rPr>
      </w:pPr>
      <w:r>
        <w:rPr>
          <w:rFonts w:hint="eastAsia" w:ascii="宋体" w:hAnsi="宋体"/>
          <w:szCs w:val="21"/>
          <w:highlight w:val="none"/>
        </w:rPr>
        <w:t>6.1　本合同项下的货物交货方式为：</w:t>
      </w:r>
      <w:r>
        <w:rPr>
          <w:rFonts w:hint="eastAsia" w:ascii="宋体" w:hAnsi="宋体"/>
          <w:color w:val="FF0000"/>
          <w:szCs w:val="21"/>
          <w:highlight w:val="none"/>
        </w:rPr>
        <w:t>适用合同条款6.1.1 现场交货；</w:t>
      </w:r>
      <w:r>
        <w:rPr>
          <w:rFonts w:hint="eastAsia" w:ascii="宋体" w:hAnsi="宋体"/>
          <w:color w:val="FF0000"/>
          <w:szCs w:val="21"/>
          <w:highlight w:val="none"/>
          <w:lang w:val="en-US" w:eastAsia="zh-CN"/>
        </w:rPr>
        <w:t>投标人负责货物运输并卸货至指定位置。</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eastAsia="宋体"/>
          <w:color w:val="FF0000"/>
          <w:szCs w:val="21"/>
          <w:highlight w:val="none"/>
          <w:lang w:val="en-US" w:eastAsia="zh-CN"/>
        </w:rPr>
      </w:pPr>
      <w:r>
        <w:rPr>
          <w:rFonts w:hint="eastAsia" w:ascii="宋体" w:hAnsi="宋体"/>
          <w:szCs w:val="21"/>
          <w:highlight w:val="none"/>
        </w:rPr>
        <w:t xml:space="preserve">8、付款条件： </w:t>
      </w:r>
      <w:r>
        <w:rPr>
          <w:rFonts w:hint="eastAsia" w:ascii="宋体" w:hAnsi="宋体"/>
          <w:color w:val="FF0000"/>
          <w:szCs w:val="21"/>
          <w:highlight w:val="none"/>
          <w:lang w:val="en-US" w:eastAsia="zh-CN"/>
        </w:rPr>
        <w:t>货到验收合格后开票，6个月后付款，可接受至少50%银行承兑汇票。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415222523"/>
      <w:bookmarkStart w:id="332" w:name="_Toc109736068"/>
    </w:p>
    <w:p>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Toc480942349"/>
      <w:bookmarkStart w:id="336" w:name="_Ref467988698"/>
      <w:bookmarkStart w:id="337" w:name="_Toc520356217"/>
      <w:bookmarkStart w:id="338" w:name="_Toc5329"/>
      <w:bookmarkStart w:id="339" w:name="_Toc415222524"/>
      <w:bookmarkStart w:id="340" w:name="_Toc216582813"/>
      <w:bookmarkStart w:id="341" w:name="_Toc109736069"/>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343" w:name="_Hlt520355938"/>
      <w:bookmarkEnd w:id="343"/>
      <w:bookmarkStart w:id="344" w:name="_Hlt520356243"/>
      <w:bookmarkEnd w:id="344"/>
      <w:bookmarkStart w:id="345" w:name="_Toc216582814"/>
      <w:bookmarkStart w:id="346" w:name="_Toc480942350"/>
      <w:bookmarkStart w:id="347" w:name="_Toc520356218"/>
      <w:bookmarkStart w:id="348" w:name="_Ref467988705"/>
      <w:bookmarkStart w:id="349" w:name="_Toc29788"/>
      <w:bookmarkStart w:id="350" w:name="_Toc109736070"/>
      <w:bookmarkStart w:id="351" w:name="_Toc415222525"/>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超滤膜包</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WKZB-2025-038</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p>
      <w:pPr>
        <w:tabs>
          <w:tab w:val="left" w:pos="1800"/>
          <w:tab w:val="left" w:pos="5580"/>
        </w:tabs>
        <w:spacing w:line="360" w:lineRule="auto"/>
        <w:rPr>
          <w:rFonts w:hint="eastAsia" w:ascii="宋体" w:hAnsi="宋体"/>
          <w:szCs w:val="21"/>
          <w:highlight w:val="none"/>
        </w:rPr>
      </w:pP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6"/>
        <w:gridCol w:w="3425"/>
        <w:gridCol w:w="1608"/>
        <w:gridCol w:w="1608"/>
        <w:gridCol w:w="1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619" w:type="pct"/>
            <w:vAlign w:val="center"/>
          </w:tcPr>
          <w:p>
            <w:pPr>
              <w:spacing w:line="380" w:lineRule="exact"/>
              <w:jc w:val="center"/>
              <w:rPr>
                <w:rFonts w:ascii="仿宋" w:hAnsi="仿宋" w:eastAsia="仿宋" w:cs="仿宋"/>
                <w:sz w:val="24"/>
                <w:highlight w:val="none"/>
              </w:rPr>
            </w:pPr>
          </w:p>
        </w:tc>
        <w:tc>
          <w:tcPr>
            <w:tcW w:w="177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货号及包装规格</w:t>
            </w:r>
          </w:p>
        </w:tc>
        <w:tc>
          <w:tcPr>
            <w:tcW w:w="832"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/个</w:t>
            </w:r>
            <w:r>
              <w:rPr>
                <w:rFonts w:hint="eastAsia" w:ascii="仿宋" w:hAnsi="仿宋" w:eastAsia="仿宋" w:cs="仿宋"/>
                <w:sz w:val="24"/>
                <w:highlight w:val="none"/>
              </w:rPr>
              <w:t>）</w:t>
            </w:r>
          </w:p>
        </w:tc>
        <w:tc>
          <w:tcPr>
            <w:tcW w:w="83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rPr>
              <w:t>供货期</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天）</w:t>
            </w:r>
          </w:p>
        </w:tc>
        <w:tc>
          <w:tcPr>
            <w:tcW w:w="943" w:type="pct"/>
            <w:vAlign w:val="center"/>
          </w:tcPr>
          <w:p>
            <w:pPr>
              <w:spacing w:line="380" w:lineRule="exact"/>
              <w:jc w:val="center"/>
              <w:rPr>
                <w:rFonts w:hint="eastAsia" w:ascii="仿宋" w:hAnsi="仿宋" w:eastAsia="仿宋" w:cs="仿宋"/>
                <w:sz w:val="24"/>
                <w:highlight w:val="none"/>
                <w:lang w:eastAsia="zh-CN"/>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619"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超滤膜包</w:t>
            </w:r>
            <w:r>
              <w:rPr>
                <w:rFonts w:hint="default" w:ascii="仿宋" w:hAnsi="仿宋" w:eastAsia="仿宋" w:cs="仿宋"/>
                <w:sz w:val="24"/>
                <w:highlight w:val="none"/>
                <w:lang w:val="en-US" w:eastAsia="zh-CN"/>
              </w:rPr>
              <w:t xml:space="preserve"> </w:t>
            </w:r>
          </w:p>
        </w:tc>
        <w:tc>
          <w:tcPr>
            <w:tcW w:w="1772"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sz w:val="24"/>
                <w:highlight w:val="none"/>
                <w:lang w:val="en-US" w:eastAsia="zh-CN"/>
              </w:rPr>
            </w:pPr>
          </w:p>
        </w:tc>
        <w:tc>
          <w:tcPr>
            <w:tcW w:w="832"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43"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一年</w:t>
            </w:r>
            <w:r>
              <w:rPr>
                <w:rFonts w:hint="eastAsia"/>
                <w:highlight w:val="none"/>
              </w:rPr>
              <w:t>。</w:t>
            </w:r>
          </w:p>
          <w:p>
            <w:pPr>
              <w:pStyle w:val="20"/>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415222529"/>
      <w:bookmarkStart w:id="353" w:name="_Toc109736072"/>
      <w:bookmarkStart w:id="354" w:name="_Toc216582818"/>
    </w:p>
    <w:p>
      <w:pPr>
        <w:rPr>
          <w:rFonts w:hint="eastAsia" w:hAnsi="宋体"/>
          <w:szCs w:val="21"/>
          <w:highlight w:val="none"/>
        </w:rPr>
      </w:pPr>
      <w:r>
        <w:rPr>
          <w:rFonts w:hint="eastAsia" w:hAnsi="宋体"/>
          <w:szCs w:val="21"/>
          <w:highlight w:val="none"/>
        </w:rPr>
        <w:br w:type="page"/>
      </w:r>
    </w:p>
    <w:p>
      <w:pPr>
        <w:pStyle w:val="4"/>
        <w:spacing w:before="0" w:line="360" w:lineRule="auto"/>
        <w:jc w:val="center"/>
        <w:rPr>
          <w:rFonts w:hint="eastAsia" w:ascii="宋体" w:hAnsi="宋体" w:eastAsia="宋体"/>
          <w:sz w:val="21"/>
          <w:szCs w:val="21"/>
          <w:highlight w:val="none"/>
        </w:rPr>
      </w:pP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超滤膜包</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WKZB-2025-038</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1.7</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供应商负责货物运输，并卸货至采购方指定位置</w:t>
            </w: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lang w:val="en-US" w:eastAsia="zh-CN"/>
              </w:rPr>
              <w:t>货到验收合格后开票，6个月后付款，可接受至少50%银行承兑汇票。</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（其他自行填写）</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415222528"/>
      <w:bookmarkStart w:id="358" w:name="_Toc216582817"/>
      <w:bookmarkStart w:id="359" w:name="_Toc109736073"/>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超滤膜包</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WKZB-2025-038</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0"/>
        <w:rPr>
          <w:rFonts w:hint="eastAsia" w:hAnsi="宋体"/>
          <w:szCs w:val="21"/>
          <w:highlight w:val="none"/>
          <w:u w:val="single"/>
        </w:rPr>
      </w:pPr>
    </w:p>
    <w:p>
      <w:pPr>
        <w:pStyle w:val="20"/>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Ref467988543"/>
      <w:bookmarkStart w:id="361" w:name="_Toc520356224"/>
      <w:bookmarkStart w:id="362" w:name="_Toc480942355"/>
      <w:bookmarkStart w:id="363" w:name="_Toc415222530"/>
      <w:bookmarkStart w:id="364" w:name="_Toc109736074"/>
      <w:bookmarkStart w:id="365" w:name="_Toc13093"/>
      <w:bookmarkStart w:id="366" w:name="_Toc216582819"/>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、投标人控股及管理关系情况表（</w:t>
      </w:r>
      <w:r>
        <w:rPr>
          <w:rFonts w:hint="eastAsia" w:ascii="宋体" w:hAnsi="宋体"/>
          <w:szCs w:val="21"/>
          <w:highlight w:val="none"/>
          <w:lang w:val="en-US" w:eastAsia="zh-CN"/>
        </w:rPr>
        <w:t>证书类复印件加盖公章）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67"/>
      <w:bookmarkStart w:id="368" w:name="_Hlt520274911"/>
      <w:bookmarkEnd w:id="368"/>
      <w:r>
        <w:rPr>
          <w:rFonts w:hint="eastAsia" w:hAnsi="宋体"/>
          <w:b/>
          <w:szCs w:val="21"/>
          <w:highlight w:val="none"/>
          <w:lang w:val="en-US" w:eastAsia="zh-CN"/>
        </w:rPr>
        <w:t>供应商资格证明材料</w:t>
      </w:r>
    </w:p>
    <w:p>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369" w:name="_Hlt520273973"/>
      <w:bookmarkEnd w:id="369"/>
      <w:bookmarkStart w:id="370" w:name="_Hlt520343000"/>
      <w:bookmarkEnd w:id="370"/>
      <w:bookmarkStart w:id="371" w:name="_Hlt520350918"/>
      <w:bookmarkEnd w:id="371"/>
      <w:bookmarkStart w:id="372" w:name="_Hlt520350957"/>
      <w:bookmarkEnd w:id="372"/>
      <w:bookmarkStart w:id="373" w:name="_Hlt520273711"/>
      <w:bookmarkEnd w:id="373"/>
      <w:bookmarkStart w:id="374" w:name="_Hlt520274065"/>
      <w:bookmarkEnd w:id="374"/>
      <w:bookmarkStart w:id="375" w:name="_Hlt520274407"/>
      <w:bookmarkEnd w:id="375"/>
      <w:bookmarkStart w:id="376" w:name="_Hlt520343392"/>
      <w:bookmarkEnd w:id="376"/>
      <w:bookmarkStart w:id="377" w:name="_Hlt520271212"/>
      <w:bookmarkEnd w:id="377"/>
      <w:bookmarkStart w:id="378" w:name="_Hlt520274393"/>
      <w:bookmarkEnd w:id="378"/>
      <w:bookmarkStart w:id="379" w:name="_Hlt520274121"/>
      <w:bookmarkEnd w:id="379"/>
      <w:bookmarkStart w:id="380" w:name="_Toc2581"/>
      <w:bookmarkStart w:id="381" w:name="_Toc520125062"/>
      <w:bookmarkStart w:id="382" w:name="_Toc520125061"/>
      <w:bookmarkStart w:id="383" w:name="_Ref467990100"/>
      <w:bookmarkStart w:id="384" w:name="_Toc520356228"/>
      <w:bookmarkStart w:id="385" w:name="_Ref467988479"/>
      <w:bookmarkStart w:id="386" w:name="_Toc480942358"/>
      <w:bookmarkStart w:id="387" w:name="_Ref467990064"/>
      <w:bookmarkStart w:id="388" w:name="_Ref467990101"/>
      <w:bookmarkStart w:id="389" w:name="_Ref467988485"/>
      <w:bookmarkStart w:id="390" w:name="_Toc480942357"/>
      <w:bookmarkStart w:id="391" w:name="_Ref467988471"/>
      <w:bookmarkStart w:id="392" w:name="_Toc520356229"/>
      <w:bookmarkStart w:id="393" w:name="_Ref467990058"/>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4"/>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80"/>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pPr>
        <w:tabs>
          <w:tab w:val="left" w:pos="853"/>
        </w:tabs>
        <w:bidi w:val="0"/>
        <w:jc w:val="left"/>
        <w:rPr>
          <w:rFonts w:hint="default"/>
          <w:highlight w:val="none"/>
          <w:lang w:val="en-US" w:eastAsia="zh-CN"/>
        </w:rPr>
      </w:pPr>
    </w:p>
    <w:bookmarkEnd w:id="381"/>
    <w:bookmarkEnd w:id="382"/>
    <w:bookmarkEnd w:id="383"/>
    <w:bookmarkEnd w:id="384"/>
    <w:bookmarkEnd w:id="385"/>
    <w:bookmarkEnd w:id="386"/>
    <w:bookmarkEnd w:id="387"/>
    <w:bookmarkEnd w:id="388"/>
    <w:bookmarkEnd w:id="389"/>
    <w:bookmarkEnd w:id="390"/>
    <w:bookmarkEnd w:id="391"/>
    <w:bookmarkEnd w:id="392"/>
    <w:bookmarkEnd w:id="393"/>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20"/>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77685377"/>
      <w:bookmarkStart w:id="399" w:name="_Toc25918"/>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超滤膜包</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WKZB-2025-038</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5610"/>
      <w:bookmarkStart w:id="403" w:name="_Toc193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19175639"/>
      <w:bookmarkStart w:id="406" w:name="_Toc216582826"/>
      <w:bookmarkStart w:id="407" w:name="_Toc220229434"/>
      <w:bookmarkStart w:id="408" w:name="_Toc218935355"/>
      <w:bookmarkStart w:id="409" w:name="_Toc109736075"/>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24902"/>
      <w:bookmarkStart w:id="414" w:name="_Toc109736076"/>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根据对付款条件的响应，最优得3分，第二得2分，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根据投标货物近三年在中国境内向同行业供货同类产品的销售业绩情况，每一项类似业绩得0.5分，最高得2分（须提供项目合同等相关证明材料）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根据标书提供的财务情况、企业基本情况等综合评价，综合实力最高得3分，第二名得2分，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w:t>
            </w:r>
            <w:r>
              <w:rPr>
                <w:rFonts w:hint="eastAsia" w:ascii="微软雅黑" w:hAnsi="微软雅黑" w:eastAsia="微软雅黑" w:cs="微软雅黑"/>
                <w:i w:val="0"/>
                <w:iCs w:val="0"/>
                <w:color w:val="000000"/>
                <w:sz w:val="21"/>
                <w:szCs w:val="21"/>
                <w:highlight w:val="none"/>
                <w:u w:val="none"/>
                <w:lang w:val="en-US" w:eastAsia="zh-CN"/>
              </w:rPr>
              <w:t>2</w:t>
            </w:r>
            <w:r>
              <w:rPr>
                <w:rFonts w:hint="eastAsia" w:ascii="微软雅黑" w:hAnsi="微软雅黑" w:eastAsia="微软雅黑" w:cs="微软雅黑"/>
                <w:i w:val="0"/>
                <w:iCs w:val="0"/>
                <w:color w:val="000000"/>
                <w:sz w:val="21"/>
                <w:szCs w:val="21"/>
                <w:highlight w:val="none"/>
                <w:u w:val="none"/>
              </w:rPr>
              <w:t>分，每缺1个内容扣</w:t>
            </w:r>
            <w:r>
              <w:rPr>
                <w:rFonts w:hint="eastAsia" w:ascii="微软雅黑" w:hAnsi="微软雅黑" w:eastAsia="微软雅黑" w:cs="微软雅黑"/>
                <w:i w:val="0"/>
                <w:iCs w:val="0"/>
                <w:color w:val="000000"/>
                <w:sz w:val="21"/>
                <w:szCs w:val="21"/>
                <w:highlight w:val="none"/>
                <w:u w:val="none"/>
                <w:lang w:val="en-US" w:eastAsia="zh-CN"/>
              </w:rPr>
              <w:t>0.5</w:t>
            </w:r>
            <w:r>
              <w:rPr>
                <w:rFonts w:hint="eastAsia" w:ascii="微软雅黑" w:hAnsi="微软雅黑" w:eastAsia="微软雅黑" w:cs="微软雅黑"/>
                <w:i w:val="0"/>
                <w:iCs w:val="0"/>
                <w:color w:val="000000"/>
                <w:sz w:val="21"/>
                <w:szCs w:val="21"/>
                <w:highlight w:val="none"/>
                <w:u w:val="none"/>
              </w:rPr>
              <w:t>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0%）×100</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0"/>
        <w:spacing w:line="360" w:lineRule="auto"/>
        <w:ind w:firstLine="472" w:firstLineChars="225"/>
        <w:rPr>
          <w:rFonts w:hint="eastAsia" w:ascii="宋体" w:hAnsi="宋体" w:cs="宋体"/>
          <w:szCs w:val="21"/>
          <w:highlight w:val="none"/>
        </w:rPr>
      </w:pPr>
    </w:p>
    <w:p>
      <w:pPr>
        <w:pStyle w:val="20"/>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keepNext/>
        <w:numPr>
          <w:ilvl w:val="0"/>
          <w:numId w:val="15"/>
        </w:numPr>
        <w:spacing w:before="240" w:after="60"/>
        <w:jc w:val="both"/>
        <w:outlineLvl w:val="0"/>
        <w:rPr>
          <w:rFonts w:hint="eastAsia" w:ascii="Times New Roman" w:hAnsi="Times New Roman" w:eastAsia="宋体" w:cs="Times New Roman"/>
          <w:b/>
          <w:caps w:val="0"/>
          <w:kern w:val="28"/>
          <w:sz w:val="30"/>
          <w:lang w:val="fr-FR" w:eastAsia="zh-CN" w:bidi="ar-SA"/>
        </w:rPr>
      </w:pPr>
      <w:bookmarkStart w:id="415" w:name="_Toc23860"/>
      <w:r>
        <w:rPr>
          <w:rFonts w:hint="eastAsia" w:ascii="Times New Roman" w:hAnsi="Times New Roman" w:eastAsia="宋体" w:cs="Times New Roman"/>
          <w:b/>
          <w:caps w:val="0"/>
          <w:kern w:val="28"/>
          <w:sz w:val="30"/>
          <w:lang w:val="fr-FR" w:eastAsia="zh-CN" w:bidi="ar-SA"/>
        </w:rPr>
        <w:t>目的</w:t>
      </w:r>
      <w:bookmarkEnd w:id="415"/>
    </w:p>
    <w:p>
      <w:pPr>
        <w:widowControl/>
        <w:spacing w:line="360" w:lineRule="auto"/>
        <w:ind w:firstLine="400" w:firstLineChars="200"/>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本URS文件旨在以文件的形式描述国药集团扬州威克生物工程有限公司</w:t>
      </w:r>
      <w:r>
        <w:rPr>
          <w:rFonts w:hint="eastAsia" w:ascii="Times New Roman" w:hAnsi="Times New Roman" w:eastAsia="宋体" w:cs="Times New Roman"/>
          <w:kern w:val="0"/>
          <w:sz w:val="20"/>
          <w:szCs w:val="20"/>
          <w:lang w:val="en-US" w:eastAsia="zh-CN"/>
        </w:rPr>
        <w:t>悬浮病毒灭活疫苗生产用超滤膜包</w:t>
      </w:r>
      <w:r>
        <w:rPr>
          <w:rFonts w:hint="eastAsia" w:ascii="Times New Roman" w:hAnsi="Times New Roman" w:eastAsia="宋体" w:cs="Times New Roman"/>
          <w:kern w:val="0"/>
          <w:sz w:val="20"/>
          <w:szCs w:val="20"/>
          <w:lang w:val="fr-FR"/>
        </w:rPr>
        <w:t>的期望及需要。包括如生物安全性、溶出物、化学兼容性、物理性质与性能品质，以及使用条件硬件（比如温度限值、化学性限值、清洗、冲洗、完整性检测和操作方法）</w:t>
      </w:r>
      <w:r>
        <w:rPr>
          <w:rFonts w:hint="eastAsia" w:ascii="Times New Roman" w:hAnsi="Times New Roman" w:eastAsia="宋体" w:cs="Times New Roman"/>
          <w:kern w:val="0"/>
          <w:sz w:val="20"/>
          <w:szCs w:val="20"/>
          <w:lang w:val="en-US" w:eastAsia="zh-CN"/>
        </w:rPr>
        <w:t>等。</w:t>
      </w:r>
      <w:r>
        <w:rPr>
          <w:rFonts w:hint="eastAsia" w:ascii="Times New Roman" w:hAnsi="Times New Roman" w:eastAsia="宋体" w:cs="Times New Roman"/>
          <w:kern w:val="0"/>
          <w:sz w:val="20"/>
          <w:szCs w:val="20"/>
          <w:lang w:val="fr-FR"/>
        </w:rPr>
        <w:t>并将作为设备最后调试、验收的依据</w:t>
      </w:r>
      <w:r>
        <w:rPr>
          <w:rFonts w:hint="eastAsia" w:ascii="Times New Roman" w:hAnsi="Times New Roman" w:eastAsia="宋体" w:cs="Times New Roman"/>
          <w:kern w:val="0"/>
          <w:sz w:val="20"/>
          <w:szCs w:val="20"/>
          <w:lang w:val="fr-FR" w:eastAsia="zh-CN"/>
        </w:rPr>
        <w:t>，</w:t>
      </w:r>
      <w:r>
        <w:rPr>
          <w:rFonts w:hint="eastAsia" w:ascii="Times New Roman" w:hAnsi="Times New Roman" w:eastAsia="宋体" w:cs="Times New Roman"/>
          <w:kern w:val="0"/>
          <w:sz w:val="20"/>
          <w:szCs w:val="20"/>
          <w:lang w:val="fr-FR"/>
        </w:rPr>
        <w:t>以保证制造商所提供的产品符合我公司的所有要求。</w:t>
      </w:r>
    </w:p>
    <w:p>
      <w:pPr>
        <w:keepNext/>
        <w:numPr>
          <w:ilvl w:val="0"/>
          <w:numId w:val="15"/>
        </w:numPr>
        <w:spacing w:before="240" w:after="60"/>
        <w:outlineLvl w:val="0"/>
        <w:rPr>
          <w:rFonts w:hint="eastAsia" w:ascii="Times New Roman" w:hAnsi="Times New Roman" w:eastAsia="宋体" w:cs="Times New Roman"/>
          <w:b/>
          <w:caps/>
          <w:kern w:val="28"/>
          <w:sz w:val="30"/>
          <w:lang w:val="fr-FR" w:eastAsia="zh-CN" w:bidi="ar-SA"/>
        </w:rPr>
      </w:pPr>
      <w:bookmarkStart w:id="416" w:name="_Toc28598"/>
      <w:bookmarkStart w:id="417" w:name="_Toc25863"/>
      <w:r>
        <w:rPr>
          <w:rFonts w:hint="eastAsia" w:ascii="Times New Roman" w:hAnsi="Times New Roman" w:eastAsia="宋体" w:cs="Times New Roman"/>
          <w:b/>
          <w:caps/>
          <w:kern w:val="28"/>
          <w:sz w:val="30"/>
          <w:lang w:val="en-US" w:eastAsia="zh-CN" w:bidi="ar-SA"/>
        </w:rPr>
        <w:t>范围</w:t>
      </w:r>
      <w:bookmarkEnd w:id="416"/>
      <w:bookmarkEnd w:id="417"/>
    </w:p>
    <w:p>
      <w:pPr>
        <w:keepNext w:val="0"/>
        <w:keepLines w:val="0"/>
        <w:pageBreakBefore w:val="0"/>
        <w:widowControl/>
        <w:kinsoku/>
        <w:wordWrap/>
        <w:overflowPunct/>
        <w:topLinePunct w:val="0"/>
        <w:autoSpaceDE/>
        <w:autoSpaceDN/>
        <w:bidi w:val="0"/>
        <w:adjustRightInd/>
        <w:snapToGrid/>
        <w:ind w:firstLine="400" w:firstLineChars="200"/>
        <w:jc w:val="left"/>
        <w:textAlignment w:val="auto"/>
        <w:rPr>
          <w:rFonts w:hint="eastAsia" w:ascii="Times New Roman" w:hAnsi="Times New Roman" w:eastAsia="宋体" w:cs="Times New Roman"/>
          <w:kern w:val="0"/>
          <w:sz w:val="20"/>
          <w:szCs w:val="20"/>
          <w:lang w:val="fr-FR" w:eastAsia="zh-CN"/>
        </w:rPr>
      </w:pPr>
      <w:r>
        <w:rPr>
          <w:rFonts w:hint="eastAsia" w:ascii="Times New Roman" w:hAnsi="Times New Roman" w:eastAsia="宋体" w:cs="Times New Roman"/>
          <w:kern w:val="0"/>
          <w:sz w:val="20"/>
          <w:szCs w:val="20"/>
          <w:lang w:val="fr-FR"/>
        </w:rPr>
        <w:t>适用于</w:t>
      </w:r>
      <w:r>
        <w:rPr>
          <w:rFonts w:hint="eastAsia" w:ascii="Times New Roman" w:hAnsi="Times New Roman" w:eastAsia="宋体" w:cs="Times New Roman"/>
          <w:kern w:val="0"/>
          <w:sz w:val="20"/>
          <w:szCs w:val="20"/>
          <w:lang w:val="en-US" w:eastAsia="zh-CN"/>
        </w:rPr>
        <w:t>悬浮病毒灭活疫苗生产的超滤膜包</w:t>
      </w:r>
      <w:r>
        <w:rPr>
          <w:rFonts w:hint="eastAsia" w:ascii="Times New Roman" w:hAnsi="Times New Roman" w:eastAsia="宋体" w:cs="Times New Roman"/>
          <w:kern w:val="0"/>
          <w:sz w:val="20"/>
          <w:szCs w:val="20"/>
          <w:lang w:val="fr-FR"/>
        </w:rPr>
        <w:t>招投标要求</w:t>
      </w:r>
      <w:r>
        <w:rPr>
          <w:rFonts w:hint="eastAsia" w:ascii="Times New Roman" w:hAnsi="Times New Roman" w:eastAsia="宋体" w:cs="Times New Roman"/>
          <w:kern w:val="0"/>
          <w:sz w:val="20"/>
          <w:szCs w:val="20"/>
          <w:lang w:val="fr-FR" w:eastAsia="zh-CN"/>
        </w:rPr>
        <w:t>。</w:t>
      </w:r>
    </w:p>
    <w:p>
      <w:pPr>
        <w:keepNext/>
        <w:numPr>
          <w:ilvl w:val="0"/>
          <w:numId w:val="15"/>
        </w:numPr>
        <w:spacing w:before="240" w:after="60"/>
        <w:outlineLvl w:val="0"/>
        <w:rPr>
          <w:rFonts w:hint="eastAsia" w:ascii="Times New Roman" w:hAnsi="Times New Roman" w:eastAsia="宋体" w:cs="Times New Roman"/>
          <w:b/>
          <w:caps/>
          <w:kern w:val="28"/>
          <w:sz w:val="30"/>
          <w:lang w:val="fr-FR" w:eastAsia="zh-CN" w:bidi="ar-SA"/>
        </w:rPr>
      </w:pPr>
      <w:bookmarkStart w:id="418" w:name="_Toc23192"/>
      <w:bookmarkStart w:id="419" w:name="_Toc26852"/>
      <w:r>
        <w:rPr>
          <w:rFonts w:hint="eastAsia" w:ascii="Times New Roman" w:hAnsi="Times New Roman" w:eastAsia="宋体" w:cs="Times New Roman"/>
          <w:b/>
          <w:caps/>
          <w:kern w:val="28"/>
          <w:sz w:val="30"/>
          <w:lang w:val="fr-FR" w:eastAsia="zh-CN" w:bidi="ar-SA"/>
        </w:rPr>
        <w:t>定义和缩略语</w:t>
      </w:r>
      <w:bookmarkEnd w:id="418"/>
      <w:bookmarkEnd w:id="419"/>
    </w:p>
    <w:tbl>
      <w:tblPr>
        <w:tblStyle w:val="51"/>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7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093" w:type="dxa"/>
            <w:shd w:val="clear" w:color="auto" w:fill="D9D9D9"/>
            <w:noWrap w:val="0"/>
            <w:vAlign w:val="center"/>
          </w:tcPr>
          <w:p>
            <w:pPr>
              <w:widowControl/>
              <w:spacing w:line="440" w:lineRule="atLeast"/>
              <w:ind w:firstLine="134" w:firstLineChars="67"/>
              <w:jc w:val="center"/>
              <w:rPr>
                <w:rFonts w:ascii="Times New Roman" w:hAnsi="Times New Roman" w:eastAsia="宋体" w:cs="Times New Roman"/>
                <w:kern w:val="0"/>
                <w:sz w:val="20"/>
                <w:szCs w:val="21"/>
                <w:lang w:val="fr-FR"/>
              </w:rPr>
            </w:pPr>
            <w:r>
              <w:rPr>
                <w:rFonts w:ascii="Times New Roman" w:hAnsi="Times New Roman" w:eastAsia="宋体" w:cs="Times New Roman"/>
                <w:kern w:val="0"/>
                <w:sz w:val="20"/>
                <w:szCs w:val="21"/>
                <w:lang w:val="fr-FR"/>
              </w:rPr>
              <w:t>缩写</w:t>
            </w:r>
          </w:p>
        </w:tc>
        <w:tc>
          <w:tcPr>
            <w:tcW w:w="7371" w:type="dxa"/>
            <w:shd w:val="clear" w:color="auto" w:fill="D9D9D9"/>
            <w:noWrap w:val="0"/>
            <w:vAlign w:val="center"/>
          </w:tcPr>
          <w:p>
            <w:pPr>
              <w:widowControl/>
              <w:spacing w:line="440" w:lineRule="atLeast"/>
              <w:ind w:firstLine="420"/>
              <w:jc w:val="center"/>
              <w:rPr>
                <w:rFonts w:ascii="Times New Roman" w:hAnsi="Times New Roman" w:eastAsia="宋体" w:cs="Times New Roman"/>
                <w:kern w:val="0"/>
                <w:sz w:val="20"/>
                <w:szCs w:val="21"/>
                <w:lang w:val="fr-FR"/>
              </w:rPr>
            </w:pPr>
            <w:r>
              <w:rPr>
                <w:rFonts w:ascii="Times New Roman" w:hAnsi="Times New Roman" w:eastAsia="宋体" w:cs="Times New Roman"/>
                <w:kern w:val="0"/>
                <w:sz w:val="20"/>
                <w:szCs w:val="21"/>
                <w:lang w:val="fr-FR"/>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spacing w:line="440" w:lineRule="atLeast"/>
              <w:jc w:val="center"/>
              <w:rPr>
                <w:rFonts w:ascii="Times New Roman" w:hAnsi="Times New Roman" w:eastAsia="宋体" w:cs="Times New Roman"/>
                <w:kern w:val="0"/>
                <w:sz w:val="20"/>
                <w:szCs w:val="21"/>
                <w:lang w:val="fr-FR"/>
              </w:rPr>
            </w:pPr>
            <w:r>
              <w:rPr>
                <w:rFonts w:ascii="Times New Roman" w:hAnsi="Times New Roman" w:eastAsia="宋体" w:cs="Times New Roman"/>
                <w:kern w:val="0"/>
                <w:sz w:val="20"/>
                <w:szCs w:val="21"/>
                <w:lang w:val="fr-FR"/>
              </w:rPr>
              <w:t>CIP</w:t>
            </w:r>
          </w:p>
        </w:tc>
        <w:tc>
          <w:tcPr>
            <w:tcW w:w="7371" w:type="dxa"/>
            <w:noWrap w:val="0"/>
            <w:vAlign w:val="center"/>
          </w:tcPr>
          <w:p>
            <w:pPr>
              <w:widowControl/>
              <w:spacing w:before="60" w:after="60" w:line="440" w:lineRule="atLeast"/>
              <w:jc w:val="left"/>
              <w:rPr>
                <w:rFonts w:ascii="Times New Roman" w:hAnsi="Times New Roman" w:eastAsia="宋体" w:cs="Times New Roman"/>
                <w:kern w:val="0"/>
                <w:sz w:val="20"/>
                <w:szCs w:val="20"/>
                <w:lang w:val="fr-FR"/>
              </w:rPr>
            </w:pPr>
            <w:r>
              <w:rPr>
                <w:rFonts w:ascii="Times New Roman" w:hAnsi="Times New Roman" w:eastAsia="宋体" w:cs="Times New Roman"/>
                <w:kern w:val="0"/>
                <w:sz w:val="20"/>
                <w:szCs w:val="20"/>
                <w:lang w:val="fr-FR"/>
              </w:rPr>
              <w:t>Cleaning In Place在线清洗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spacing w:line="440" w:lineRule="atLeast"/>
              <w:jc w:val="center"/>
              <w:rPr>
                <w:rFonts w:ascii="Times New Roman" w:hAnsi="Times New Roman" w:eastAsia="宋体" w:cs="Times New Roman"/>
                <w:kern w:val="0"/>
                <w:sz w:val="20"/>
                <w:szCs w:val="21"/>
                <w:lang w:val="fr-FR"/>
              </w:rPr>
            </w:pPr>
            <w:r>
              <w:rPr>
                <w:rFonts w:ascii="Times New Roman" w:hAnsi="Times New Roman" w:eastAsia="宋体" w:cs="Times New Roman"/>
                <w:kern w:val="0"/>
                <w:sz w:val="20"/>
                <w:szCs w:val="21"/>
                <w:lang w:val="fr-FR"/>
              </w:rPr>
              <w:t>cGMP</w:t>
            </w:r>
          </w:p>
        </w:tc>
        <w:tc>
          <w:tcPr>
            <w:tcW w:w="7371" w:type="dxa"/>
            <w:noWrap w:val="0"/>
            <w:vAlign w:val="center"/>
          </w:tcPr>
          <w:p>
            <w:pPr>
              <w:widowControl/>
              <w:spacing w:line="440" w:lineRule="atLeast"/>
              <w:jc w:val="left"/>
              <w:rPr>
                <w:rFonts w:ascii="Times New Roman" w:hAnsi="Times New Roman" w:eastAsia="宋体" w:cs="Times New Roman"/>
                <w:kern w:val="0"/>
                <w:sz w:val="20"/>
                <w:szCs w:val="20"/>
                <w:lang w:val="fr-FR"/>
              </w:rPr>
            </w:pPr>
            <w:r>
              <w:rPr>
                <w:rFonts w:ascii="Times New Roman" w:hAnsi="Times New Roman" w:eastAsia="宋体" w:cs="Times New Roman"/>
                <w:kern w:val="0"/>
                <w:sz w:val="20"/>
                <w:szCs w:val="20"/>
                <w:lang w:val="fr-FR"/>
              </w:rPr>
              <w:t>Current Good Manufacturing Practices现行药品生产质量管理规范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spacing w:line="440" w:lineRule="atLeast"/>
              <w:jc w:val="center"/>
              <w:rPr>
                <w:rFonts w:ascii="Times New Roman" w:hAnsi="Times New Roman" w:eastAsia="宋体" w:cs="Times New Roman"/>
                <w:kern w:val="0"/>
                <w:sz w:val="20"/>
                <w:szCs w:val="21"/>
                <w:lang w:val="fr-FR"/>
              </w:rPr>
            </w:pPr>
            <w:r>
              <w:rPr>
                <w:rFonts w:ascii="Times New Roman" w:hAnsi="Times New Roman" w:eastAsia="宋体" w:cs="Times New Roman"/>
                <w:kern w:val="0"/>
                <w:sz w:val="20"/>
                <w:szCs w:val="21"/>
                <w:lang w:val="fr-FR"/>
              </w:rPr>
              <w:t>FAT</w:t>
            </w:r>
          </w:p>
        </w:tc>
        <w:tc>
          <w:tcPr>
            <w:tcW w:w="7371" w:type="dxa"/>
            <w:noWrap w:val="0"/>
            <w:vAlign w:val="center"/>
          </w:tcPr>
          <w:p>
            <w:pPr>
              <w:widowControl/>
              <w:spacing w:line="440" w:lineRule="atLeast"/>
              <w:jc w:val="left"/>
              <w:rPr>
                <w:rFonts w:ascii="Times New Roman" w:hAnsi="Times New Roman" w:eastAsia="宋体" w:cs="Times New Roman"/>
                <w:kern w:val="0"/>
                <w:sz w:val="20"/>
                <w:szCs w:val="20"/>
                <w:lang w:val="fr-FR"/>
              </w:rPr>
            </w:pPr>
            <w:r>
              <w:rPr>
                <w:rFonts w:ascii="Times New Roman" w:hAnsi="Times New Roman" w:eastAsia="宋体" w:cs="Times New Roman"/>
                <w:kern w:val="0"/>
                <w:sz w:val="20"/>
                <w:szCs w:val="20"/>
                <w:lang w:val="fr-FR"/>
              </w:rPr>
              <w:t>Factory Acceptance Test 设备出厂测试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spacing w:line="440" w:lineRule="atLeast"/>
              <w:jc w:val="center"/>
              <w:rPr>
                <w:rFonts w:ascii="Times New Roman" w:hAnsi="Times New Roman" w:eastAsia="宋体" w:cs="Times New Roman"/>
                <w:kern w:val="0"/>
                <w:sz w:val="20"/>
                <w:szCs w:val="21"/>
                <w:lang w:val="fr-FR"/>
              </w:rPr>
            </w:pPr>
            <w:r>
              <w:rPr>
                <w:rFonts w:ascii="Times New Roman" w:hAnsi="Times New Roman" w:eastAsia="宋体" w:cs="Times New Roman"/>
                <w:kern w:val="0"/>
                <w:sz w:val="20"/>
                <w:szCs w:val="21"/>
                <w:lang w:val="fr-FR"/>
              </w:rPr>
              <w:t>FDA</w:t>
            </w:r>
          </w:p>
        </w:tc>
        <w:tc>
          <w:tcPr>
            <w:tcW w:w="7371" w:type="dxa"/>
            <w:noWrap w:val="0"/>
            <w:vAlign w:val="center"/>
          </w:tcPr>
          <w:p>
            <w:pPr>
              <w:widowControl/>
              <w:spacing w:line="440" w:lineRule="atLeast"/>
              <w:jc w:val="left"/>
              <w:rPr>
                <w:rFonts w:ascii="Times New Roman" w:hAnsi="Times New Roman" w:eastAsia="宋体" w:cs="Times New Roman"/>
                <w:kern w:val="0"/>
                <w:sz w:val="20"/>
                <w:szCs w:val="20"/>
                <w:lang w:val="fr-FR"/>
              </w:rPr>
            </w:pPr>
            <w:r>
              <w:rPr>
                <w:rFonts w:ascii="Times New Roman" w:hAnsi="Times New Roman" w:eastAsia="宋体" w:cs="Times New Roman"/>
                <w:kern w:val="0"/>
                <w:sz w:val="20"/>
                <w:szCs w:val="20"/>
                <w:lang w:val="fr-FR"/>
              </w:rPr>
              <w:t>Food and Drug Administration 美国食品和药品管理局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spacing w:line="440" w:lineRule="atLeast"/>
              <w:jc w:val="center"/>
              <w:rPr>
                <w:rFonts w:ascii="Times New Roman" w:hAnsi="Times New Roman" w:eastAsia="宋体" w:cs="Times New Roman"/>
                <w:kern w:val="0"/>
                <w:sz w:val="20"/>
                <w:szCs w:val="21"/>
                <w:lang w:val="fr-FR"/>
              </w:rPr>
            </w:pPr>
            <w:r>
              <w:rPr>
                <w:rFonts w:ascii="Times New Roman" w:hAnsi="Times New Roman" w:eastAsia="宋体" w:cs="Times New Roman"/>
                <w:kern w:val="0"/>
                <w:sz w:val="20"/>
                <w:szCs w:val="21"/>
                <w:lang w:val="fr-FR"/>
              </w:rPr>
              <w:t>FRS</w:t>
            </w:r>
          </w:p>
        </w:tc>
        <w:tc>
          <w:tcPr>
            <w:tcW w:w="7371" w:type="dxa"/>
            <w:noWrap w:val="0"/>
            <w:vAlign w:val="center"/>
          </w:tcPr>
          <w:p>
            <w:pPr>
              <w:widowControl/>
              <w:spacing w:line="440" w:lineRule="atLeast"/>
              <w:jc w:val="left"/>
              <w:rPr>
                <w:rFonts w:ascii="Times New Roman" w:hAnsi="Times New Roman" w:eastAsia="宋体" w:cs="Times New Roman"/>
                <w:kern w:val="0"/>
                <w:sz w:val="20"/>
                <w:szCs w:val="20"/>
                <w:lang w:val="fr-FR"/>
              </w:rPr>
            </w:pPr>
            <w:r>
              <w:rPr>
                <w:rFonts w:ascii="Times New Roman" w:hAnsi="Times New Roman" w:eastAsia="宋体" w:cs="Times New Roman"/>
                <w:kern w:val="0"/>
                <w:sz w:val="20"/>
                <w:szCs w:val="20"/>
                <w:lang w:val="fr-FR"/>
              </w:rPr>
              <w:t>Function Requirement Specification 功能需求说明书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spacing w:line="440" w:lineRule="atLeast"/>
              <w:jc w:val="center"/>
              <w:rPr>
                <w:rFonts w:ascii="Times New Roman" w:hAnsi="Times New Roman" w:eastAsia="宋体" w:cs="Times New Roman"/>
                <w:kern w:val="0"/>
                <w:sz w:val="20"/>
                <w:szCs w:val="21"/>
                <w:lang w:val="fr-FR"/>
              </w:rPr>
            </w:pPr>
            <w:r>
              <w:rPr>
                <w:rFonts w:ascii="Times New Roman" w:hAnsi="Times New Roman" w:eastAsia="宋体" w:cs="Times New Roman"/>
                <w:kern w:val="0"/>
                <w:sz w:val="20"/>
                <w:szCs w:val="21"/>
                <w:lang w:val="fr-FR"/>
              </w:rPr>
              <w:t>FDS</w:t>
            </w:r>
          </w:p>
        </w:tc>
        <w:tc>
          <w:tcPr>
            <w:tcW w:w="7371" w:type="dxa"/>
            <w:noWrap w:val="0"/>
            <w:vAlign w:val="center"/>
          </w:tcPr>
          <w:p>
            <w:pPr>
              <w:widowControl/>
              <w:spacing w:line="440" w:lineRule="atLeast"/>
              <w:jc w:val="left"/>
              <w:rPr>
                <w:rFonts w:ascii="Times New Roman" w:hAnsi="Times New Roman" w:eastAsia="宋体" w:cs="Times New Roman"/>
                <w:kern w:val="0"/>
                <w:sz w:val="20"/>
                <w:szCs w:val="20"/>
                <w:lang w:val="fr-FR"/>
              </w:rPr>
            </w:pPr>
            <w:r>
              <w:rPr>
                <w:rFonts w:ascii="Times New Roman" w:hAnsi="Times New Roman" w:eastAsia="宋体" w:cs="Times New Roman"/>
                <w:kern w:val="0"/>
                <w:sz w:val="20"/>
                <w:szCs w:val="20"/>
                <w:lang w:val="fr-FR"/>
              </w:rPr>
              <w:t>Functional design specifications 功能设计说明书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spacing w:line="440" w:lineRule="atLeast"/>
              <w:jc w:val="center"/>
              <w:rPr>
                <w:rFonts w:ascii="Times New Roman" w:hAnsi="Times New Roman" w:eastAsia="宋体" w:cs="Times New Roman"/>
                <w:kern w:val="0"/>
                <w:sz w:val="20"/>
                <w:szCs w:val="21"/>
                <w:lang w:val="fr-FR"/>
              </w:rPr>
            </w:pPr>
            <w:r>
              <w:rPr>
                <w:rFonts w:ascii="Times New Roman" w:hAnsi="Times New Roman" w:eastAsia="宋体" w:cs="Times New Roman"/>
                <w:kern w:val="0"/>
                <w:sz w:val="20"/>
                <w:szCs w:val="21"/>
                <w:lang w:val="fr-FR"/>
              </w:rPr>
              <w:t>GAMP</w:t>
            </w:r>
          </w:p>
        </w:tc>
        <w:tc>
          <w:tcPr>
            <w:tcW w:w="7371" w:type="dxa"/>
            <w:noWrap w:val="0"/>
            <w:vAlign w:val="center"/>
          </w:tcPr>
          <w:p>
            <w:pPr>
              <w:widowControl/>
              <w:spacing w:line="440" w:lineRule="atLeast"/>
              <w:jc w:val="left"/>
              <w:rPr>
                <w:rFonts w:ascii="Times New Roman" w:hAnsi="Times New Roman" w:eastAsia="宋体" w:cs="Times New Roman"/>
                <w:kern w:val="0"/>
                <w:sz w:val="20"/>
                <w:szCs w:val="20"/>
                <w:lang w:val="fr-FR"/>
              </w:rPr>
            </w:pPr>
            <w:r>
              <w:rPr>
                <w:rFonts w:ascii="Times New Roman" w:hAnsi="Times New Roman" w:eastAsia="宋体" w:cs="Times New Roman"/>
                <w:kern w:val="0"/>
                <w:sz w:val="20"/>
                <w:szCs w:val="20"/>
                <w:lang w:val="fr-FR"/>
              </w:rPr>
              <w:t>Good Automation Manufacturing Practices 良好的自动化生产规范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spacing w:line="440" w:lineRule="atLeast"/>
              <w:jc w:val="center"/>
              <w:rPr>
                <w:rFonts w:ascii="Times New Roman" w:hAnsi="Times New Roman" w:eastAsia="宋体" w:cs="Times New Roman"/>
                <w:kern w:val="0"/>
                <w:sz w:val="20"/>
                <w:szCs w:val="21"/>
                <w:lang w:val="fr-FR"/>
              </w:rPr>
            </w:pPr>
            <w:r>
              <w:rPr>
                <w:rFonts w:ascii="Times New Roman" w:hAnsi="Times New Roman" w:eastAsia="宋体" w:cs="Times New Roman"/>
                <w:kern w:val="0"/>
                <w:sz w:val="20"/>
                <w:szCs w:val="21"/>
                <w:lang w:val="fr-FR"/>
              </w:rPr>
              <w:t>GMP</w:t>
            </w:r>
          </w:p>
        </w:tc>
        <w:tc>
          <w:tcPr>
            <w:tcW w:w="7371" w:type="dxa"/>
            <w:noWrap w:val="0"/>
            <w:vAlign w:val="center"/>
          </w:tcPr>
          <w:p>
            <w:pPr>
              <w:widowControl/>
              <w:spacing w:line="440" w:lineRule="atLeast"/>
              <w:jc w:val="left"/>
              <w:rPr>
                <w:rFonts w:ascii="Times New Roman" w:hAnsi="Times New Roman" w:eastAsia="宋体" w:cs="Times New Roman"/>
                <w:kern w:val="0"/>
                <w:sz w:val="20"/>
                <w:szCs w:val="20"/>
                <w:lang w:val="fr-FR"/>
              </w:rPr>
            </w:pPr>
            <w:r>
              <w:rPr>
                <w:rFonts w:ascii="Times New Roman" w:hAnsi="Times New Roman" w:eastAsia="宋体" w:cs="Times New Roman"/>
                <w:kern w:val="0"/>
                <w:sz w:val="20"/>
                <w:szCs w:val="20"/>
                <w:lang w:val="fr-FR"/>
              </w:rPr>
              <w:t>Good Manufacturing Practice 药品生产质量管理规范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spacing w:line="440" w:lineRule="atLeast"/>
              <w:jc w:val="center"/>
              <w:rPr>
                <w:rFonts w:ascii="Times New Roman" w:hAnsi="Times New Roman" w:eastAsia="宋体" w:cs="Times New Roman"/>
                <w:kern w:val="0"/>
                <w:sz w:val="20"/>
                <w:szCs w:val="21"/>
                <w:lang w:val="fr-FR"/>
              </w:rPr>
            </w:pPr>
            <w:r>
              <w:rPr>
                <w:rFonts w:ascii="Times New Roman" w:hAnsi="Times New Roman" w:eastAsia="宋体" w:cs="Times New Roman"/>
                <w:kern w:val="0"/>
                <w:sz w:val="20"/>
                <w:szCs w:val="21"/>
                <w:lang w:val="fr-FR"/>
              </w:rPr>
              <w:t>QA</w:t>
            </w:r>
          </w:p>
        </w:tc>
        <w:tc>
          <w:tcPr>
            <w:tcW w:w="7371" w:type="dxa"/>
            <w:noWrap w:val="0"/>
            <w:vAlign w:val="center"/>
          </w:tcPr>
          <w:p>
            <w:pPr>
              <w:widowControl/>
              <w:spacing w:before="20" w:line="440" w:lineRule="atLeast"/>
              <w:jc w:val="left"/>
              <w:rPr>
                <w:rFonts w:ascii="Times New Roman" w:hAnsi="Times New Roman" w:eastAsia="宋体" w:cs="Times New Roman"/>
                <w:kern w:val="0"/>
                <w:sz w:val="21"/>
                <w:szCs w:val="21"/>
                <w:lang w:val="en-US"/>
              </w:rPr>
            </w:pPr>
            <w:r>
              <w:rPr>
                <w:rFonts w:ascii="Times New Roman" w:hAnsi="Times New Roman" w:eastAsia="宋体" w:cs="Times New Roman"/>
                <w:kern w:val="0"/>
                <w:sz w:val="21"/>
                <w:szCs w:val="21"/>
                <w:lang w:val="en-US"/>
              </w:rPr>
              <w:t>Quality Assurance质量保证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spacing w:line="440" w:lineRule="atLeast"/>
              <w:jc w:val="center"/>
              <w:rPr>
                <w:rFonts w:ascii="Times New Roman" w:hAnsi="Times New Roman" w:eastAsia="宋体" w:cs="Times New Roman"/>
                <w:kern w:val="0"/>
                <w:sz w:val="20"/>
                <w:szCs w:val="21"/>
                <w:lang w:val="fr-FR"/>
              </w:rPr>
            </w:pPr>
            <w:r>
              <w:rPr>
                <w:rFonts w:ascii="Times New Roman" w:hAnsi="Times New Roman" w:eastAsia="宋体" w:cs="Times New Roman"/>
                <w:kern w:val="0"/>
                <w:sz w:val="20"/>
                <w:szCs w:val="21"/>
                <w:lang w:val="fr-FR"/>
              </w:rPr>
              <w:t>SAT</w:t>
            </w:r>
          </w:p>
        </w:tc>
        <w:tc>
          <w:tcPr>
            <w:tcW w:w="7371" w:type="dxa"/>
            <w:noWrap w:val="0"/>
            <w:vAlign w:val="center"/>
          </w:tcPr>
          <w:p>
            <w:pPr>
              <w:widowControl/>
              <w:spacing w:line="440" w:lineRule="atLeast"/>
              <w:jc w:val="left"/>
              <w:rPr>
                <w:rFonts w:ascii="Times New Roman" w:hAnsi="Times New Roman" w:eastAsia="宋体" w:cs="Times New Roman"/>
                <w:kern w:val="0"/>
                <w:sz w:val="20"/>
                <w:szCs w:val="21"/>
                <w:lang w:val="fr-FR"/>
              </w:rPr>
            </w:pPr>
            <w:r>
              <w:rPr>
                <w:rFonts w:ascii="Times New Roman" w:hAnsi="Times New Roman" w:eastAsia="宋体" w:cs="Times New Roman"/>
                <w:kern w:val="0"/>
                <w:sz w:val="20"/>
                <w:szCs w:val="21"/>
                <w:lang w:val="fr-FR"/>
              </w:rPr>
              <w:t>Site Acceptance Test现场验收测试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spacing w:line="440" w:lineRule="atLeast"/>
              <w:jc w:val="center"/>
              <w:rPr>
                <w:rFonts w:ascii="Times New Roman" w:hAnsi="Times New Roman" w:eastAsia="宋体" w:cs="Times New Roman"/>
                <w:kern w:val="0"/>
                <w:sz w:val="20"/>
                <w:szCs w:val="21"/>
                <w:lang w:val="fr-FR"/>
              </w:rPr>
            </w:pPr>
            <w:r>
              <w:rPr>
                <w:rFonts w:ascii="Times New Roman" w:hAnsi="Times New Roman" w:eastAsia="宋体" w:cs="Times New Roman"/>
                <w:kern w:val="0"/>
                <w:sz w:val="20"/>
                <w:szCs w:val="21"/>
                <w:lang w:val="fr-FR"/>
              </w:rPr>
              <w:t>URS</w:t>
            </w:r>
          </w:p>
        </w:tc>
        <w:tc>
          <w:tcPr>
            <w:tcW w:w="7371" w:type="dxa"/>
            <w:noWrap w:val="0"/>
            <w:vAlign w:val="center"/>
          </w:tcPr>
          <w:p>
            <w:pPr>
              <w:widowControl/>
              <w:spacing w:line="440" w:lineRule="atLeast"/>
              <w:jc w:val="left"/>
              <w:rPr>
                <w:rFonts w:ascii="Times New Roman" w:hAnsi="Times New Roman" w:eastAsia="宋体" w:cs="Times New Roman"/>
                <w:kern w:val="0"/>
                <w:sz w:val="20"/>
                <w:szCs w:val="21"/>
                <w:lang w:val="fr-FR"/>
              </w:rPr>
            </w:pPr>
            <w:r>
              <w:rPr>
                <w:rFonts w:ascii="Times New Roman" w:hAnsi="Times New Roman" w:eastAsia="宋体" w:cs="Times New Roman"/>
                <w:kern w:val="0"/>
                <w:sz w:val="20"/>
                <w:szCs w:val="21"/>
                <w:lang w:val="fr-FR"/>
              </w:rPr>
              <w:t>User Requirement Specification用户需求说明书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spacing w:line="440" w:lineRule="atLeast"/>
              <w:jc w:val="center"/>
              <w:rPr>
                <w:rFonts w:ascii="Times New Roman" w:hAnsi="Times New Roman" w:eastAsia="宋体" w:cs="Times New Roman"/>
                <w:kern w:val="0"/>
                <w:sz w:val="20"/>
                <w:szCs w:val="21"/>
                <w:lang w:val="fr-FR"/>
              </w:rPr>
            </w:pPr>
            <w:r>
              <w:rPr>
                <w:rFonts w:ascii="Times New Roman" w:hAnsi="Times New Roman" w:eastAsia="宋体" w:cs="Times New Roman"/>
                <w:kern w:val="0"/>
                <w:sz w:val="20"/>
                <w:szCs w:val="21"/>
                <w:lang w:val="fr-FR"/>
              </w:rPr>
              <w:t>VP</w:t>
            </w:r>
          </w:p>
        </w:tc>
        <w:tc>
          <w:tcPr>
            <w:tcW w:w="7371" w:type="dxa"/>
            <w:noWrap w:val="0"/>
            <w:vAlign w:val="center"/>
          </w:tcPr>
          <w:p>
            <w:pPr>
              <w:widowControl/>
              <w:spacing w:line="440" w:lineRule="atLeast"/>
              <w:jc w:val="left"/>
              <w:rPr>
                <w:rFonts w:ascii="Times New Roman" w:hAnsi="Times New Roman" w:eastAsia="宋体" w:cs="Times New Roman"/>
                <w:kern w:val="0"/>
                <w:sz w:val="20"/>
                <w:szCs w:val="21"/>
                <w:lang w:val="fr-FR"/>
              </w:rPr>
            </w:pPr>
            <w:r>
              <w:rPr>
                <w:rFonts w:ascii="Times New Roman" w:hAnsi="Times New Roman" w:eastAsia="宋体" w:cs="Times New Roman"/>
                <w:bCs/>
                <w:kern w:val="0"/>
                <w:sz w:val="20"/>
                <w:szCs w:val="21"/>
                <w:lang w:val="fr-FR"/>
              </w:rPr>
              <w:t>Validation Plan 验证计划</w:t>
            </w:r>
          </w:p>
        </w:tc>
      </w:tr>
    </w:tbl>
    <w:p>
      <w:pPr>
        <w:widowControl/>
        <w:jc w:val="left"/>
        <w:rPr>
          <w:rFonts w:hint="eastAsia" w:ascii="Times New Roman" w:hAnsi="Times New Roman" w:eastAsia="宋体" w:cs="Times New Roman"/>
          <w:kern w:val="0"/>
          <w:sz w:val="20"/>
          <w:szCs w:val="20"/>
          <w:lang w:val="fr-FR"/>
        </w:rPr>
      </w:pPr>
    </w:p>
    <w:p>
      <w:pPr>
        <w:keepNext/>
        <w:numPr>
          <w:ilvl w:val="0"/>
          <w:numId w:val="15"/>
        </w:numPr>
        <w:spacing w:before="240" w:after="60"/>
        <w:outlineLvl w:val="0"/>
        <w:rPr>
          <w:rFonts w:hint="eastAsia" w:ascii="Times New Roman" w:hAnsi="Times New Roman" w:eastAsia="宋体" w:cs="Times New Roman"/>
          <w:b/>
          <w:caps/>
          <w:kern w:val="28"/>
          <w:sz w:val="30"/>
          <w:lang w:val="fr-FR" w:eastAsia="zh-CN" w:bidi="ar-SA"/>
        </w:rPr>
      </w:pPr>
      <w:bookmarkStart w:id="420" w:name="_Toc18809"/>
      <w:bookmarkStart w:id="421" w:name="_Toc31418"/>
      <w:r>
        <w:rPr>
          <w:rFonts w:hint="eastAsia" w:ascii="Times New Roman" w:hAnsi="Times New Roman" w:eastAsia="宋体" w:cs="Times New Roman"/>
          <w:b/>
          <w:caps/>
          <w:kern w:val="28"/>
          <w:sz w:val="30"/>
          <w:lang w:val="fr-FR" w:eastAsia="zh-CN" w:bidi="ar-SA"/>
        </w:rPr>
        <w:t>需</w:t>
      </w:r>
      <w:r>
        <w:rPr>
          <w:rFonts w:hint="eastAsia" w:ascii="Times New Roman" w:hAnsi="Times New Roman" w:eastAsia="宋体" w:cs="Times New Roman"/>
          <w:b/>
          <w:caps/>
          <w:kern w:val="28"/>
          <w:sz w:val="30"/>
          <w:lang w:val="en-US" w:eastAsia="zh-CN" w:bidi="ar-SA"/>
        </w:rPr>
        <w:t>求</w:t>
      </w:r>
      <w:r>
        <w:rPr>
          <w:rFonts w:hint="eastAsia" w:ascii="Times New Roman" w:hAnsi="Times New Roman" w:eastAsia="宋体" w:cs="Times New Roman"/>
          <w:b/>
          <w:caps/>
          <w:kern w:val="28"/>
          <w:sz w:val="30"/>
          <w:lang w:val="fr-FR" w:eastAsia="zh-CN" w:bidi="ar-SA"/>
        </w:rPr>
        <w:t>设备/工艺的简单描述</w:t>
      </w:r>
      <w:bookmarkEnd w:id="420"/>
      <w:bookmarkEnd w:id="421"/>
    </w:p>
    <w:p>
      <w:pPr>
        <w:keepNext/>
        <w:numPr>
          <w:ilvl w:val="1"/>
          <w:numId w:val="15"/>
        </w:numPr>
        <w:bidi w:val="0"/>
        <w:spacing w:before="240" w:after="60"/>
        <w:outlineLvl w:val="1"/>
        <w:rPr>
          <w:rFonts w:hint="eastAsia" w:ascii="Times New Roman" w:hAnsi="Times New Roman" w:eastAsia="宋体" w:cs="Times New Roman"/>
          <w:b/>
          <w:sz w:val="28"/>
          <w:lang w:val="fr-FR" w:eastAsia="zh-CN" w:bidi="ar-SA"/>
        </w:rPr>
      </w:pPr>
      <w:r>
        <w:rPr>
          <w:rFonts w:hint="eastAsia" w:ascii="Times New Roman" w:hAnsi="Times New Roman" w:eastAsia="宋体" w:cs="Times New Roman"/>
          <w:b/>
          <w:sz w:val="28"/>
          <w:lang w:val="fr-FR" w:eastAsia="zh-CN" w:bidi="ar-SA"/>
        </w:rPr>
        <w:t>切向流过滤(TFF)</w:t>
      </w:r>
      <w:r>
        <w:rPr>
          <w:rFonts w:hint="eastAsia" w:ascii="Times New Roman" w:hAnsi="Times New Roman" w:eastAsia="宋体" w:cs="Times New Roman"/>
          <w:b/>
          <w:sz w:val="28"/>
          <w:lang w:val="en-US" w:eastAsia="zh-CN" w:bidi="ar-SA"/>
        </w:rPr>
        <w:t>简单描述</w:t>
      </w:r>
    </w:p>
    <w:p>
      <w:pPr>
        <w:keepNext w:val="0"/>
        <w:keepLines w:val="0"/>
        <w:pageBreakBefore w:val="0"/>
        <w:widowControl/>
        <w:kinsoku/>
        <w:wordWrap/>
        <w:overflowPunct/>
        <w:topLinePunct w:val="0"/>
        <w:autoSpaceDE/>
        <w:autoSpaceDN/>
        <w:bidi w:val="0"/>
        <w:adjustRightInd/>
        <w:snapToGrid/>
        <w:ind w:firstLine="400" w:firstLineChars="200"/>
        <w:jc w:val="left"/>
        <w:textAlignment w:val="auto"/>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切向流过滤(TFF)是对生物分子溶液进行浓缩、去盐或缓冲液置换的有效方法。切向流过滤(TFF)可以应用于从小生物分子中分馏出大分子，缓冲液除热源，细胞悬浮液回收以及澄清发酵液和细胞溶菌液等方面。</w:t>
      </w:r>
    </w:p>
    <w:p>
      <w:pPr>
        <w:keepNext/>
        <w:numPr>
          <w:ilvl w:val="1"/>
          <w:numId w:val="15"/>
        </w:numPr>
        <w:spacing w:before="240" w:after="60"/>
        <w:outlineLvl w:val="1"/>
        <w:rPr>
          <w:rFonts w:hint="eastAsia" w:ascii="Times New Roman" w:hAnsi="Times New Roman" w:eastAsia="宋体" w:cs="Times New Roman"/>
          <w:b/>
          <w:sz w:val="28"/>
          <w:lang w:val="fr-FR" w:eastAsia="zh-CN" w:bidi="ar-SA"/>
        </w:rPr>
      </w:pPr>
      <w:bookmarkStart w:id="422" w:name="_Toc24582"/>
      <w:r>
        <w:rPr>
          <w:rFonts w:hint="eastAsia" w:ascii="Times New Roman" w:hAnsi="Times New Roman" w:eastAsia="宋体" w:cs="Times New Roman"/>
          <w:b/>
          <w:sz w:val="28"/>
          <w:lang w:val="fr-FR" w:eastAsia="zh-CN" w:bidi="ar-SA"/>
        </w:rPr>
        <w:t>供货范围</w:t>
      </w:r>
      <w:bookmarkEnd w:id="422"/>
    </w:p>
    <w:p>
      <w:pPr>
        <w:keepNext w:val="0"/>
        <w:keepLines w:val="0"/>
        <w:pageBreakBefore w:val="0"/>
        <w:widowControl/>
        <w:kinsoku/>
        <w:wordWrap/>
        <w:overflowPunct/>
        <w:topLinePunct w:val="0"/>
        <w:autoSpaceDE/>
        <w:autoSpaceDN/>
        <w:bidi w:val="0"/>
        <w:adjustRightInd/>
        <w:snapToGrid/>
        <w:ind w:firstLine="400" w:firstLineChars="200"/>
        <w:jc w:val="left"/>
        <w:textAlignment w:val="auto"/>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膜包均用热封塑料袋独立包装， 交付的膜包还附有两片塑料袋包装的硅胶垫片，测试证明，膜包保养与使用手册和 MSDS 文件等。</w:t>
      </w:r>
    </w:p>
    <w:tbl>
      <w:tblPr>
        <w:tblStyle w:val="5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8"/>
        <w:gridCol w:w="1950"/>
        <w:gridCol w:w="2690"/>
        <w:gridCol w:w="2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4" w:type="dxa"/>
            <w:noWrap w:val="0"/>
            <w:vAlign w:val="top"/>
          </w:tcPr>
          <w:p>
            <w:pPr>
              <w:keepNext w:val="0"/>
              <w:keepLines w:val="0"/>
              <w:pageBreakBefore w:val="0"/>
              <w:widowControl/>
              <w:kinsoku/>
              <w:wordWrap/>
              <w:overflowPunct/>
              <w:topLinePunct w:val="0"/>
              <w:autoSpaceDE/>
              <w:autoSpaceDN/>
              <w:bidi w:val="0"/>
              <w:adjustRightInd/>
              <w:snapToGrid/>
              <w:ind w:firstLine="400" w:firstLineChars="200"/>
              <w:jc w:val="center"/>
              <w:textAlignment w:val="auto"/>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膜包规格</w:t>
            </w:r>
          </w:p>
        </w:tc>
        <w:tc>
          <w:tcPr>
            <w:tcW w:w="1976" w:type="dxa"/>
            <w:noWrap w:val="0"/>
            <w:vAlign w:val="top"/>
          </w:tcPr>
          <w:p>
            <w:pPr>
              <w:keepNext w:val="0"/>
              <w:keepLines w:val="0"/>
              <w:pageBreakBefore w:val="0"/>
              <w:widowControl/>
              <w:kinsoku/>
              <w:wordWrap/>
              <w:overflowPunct/>
              <w:topLinePunct w:val="0"/>
              <w:autoSpaceDE/>
              <w:autoSpaceDN/>
              <w:bidi w:val="0"/>
              <w:adjustRightInd/>
              <w:snapToGrid/>
              <w:ind w:firstLine="400" w:firstLineChars="200"/>
              <w:jc w:val="center"/>
              <w:textAlignment w:val="auto"/>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数量（个）</w:t>
            </w:r>
          </w:p>
        </w:tc>
        <w:tc>
          <w:tcPr>
            <w:tcW w:w="2732" w:type="dxa"/>
            <w:noWrap w:val="0"/>
            <w:vAlign w:val="top"/>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每块膜包面积（平方）</w:t>
            </w:r>
          </w:p>
        </w:tc>
        <w:tc>
          <w:tcPr>
            <w:tcW w:w="2354" w:type="dxa"/>
            <w:noWrap w:val="0"/>
            <w:vAlign w:val="top"/>
          </w:tcPr>
          <w:p>
            <w:pPr>
              <w:keepNext w:val="0"/>
              <w:keepLines w:val="0"/>
              <w:pageBreakBefore w:val="0"/>
              <w:widowControl/>
              <w:kinsoku/>
              <w:wordWrap/>
              <w:overflowPunct/>
              <w:topLinePunct w:val="0"/>
              <w:autoSpaceDE/>
              <w:autoSpaceDN/>
              <w:bidi w:val="0"/>
              <w:adjustRightInd/>
              <w:snapToGrid/>
              <w:ind w:firstLine="400" w:firstLineChars="200"/>
              <w:jc w:val="center"/>
              <w:textAlignment w:val="auto"/>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4" w:type="dxa"/>
            <w:noWrap w:val="0"/>
            <w:vAlign w:val="top"/>
          </w:tcPr>
          <w:p>
            <w:pPr>
              <w:keepNext w:val="0"/>
              <w:keepLines w:val="0"/>
              <w:pageBreakBefore w:val="0"/>
              <w:widowControl/>
              <w:kinsoku/>
              <w:wordWrap/>
              <w:overflowPunct/>
              <w:topLinePunct w:val="0"/>
              <w:autoSpaceDE/>
              <w:autoSpaceDN/>
              <w:bidi w:val="0"/>
              <w:adjustRightInd/>
              <w:snapToGrid/>
              <w:ind w:firstLine="400" w:firstLineChars="200"/>
              <w:jc w:val="center"/>
              <w:textAlignment w:val="auto"/>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100KD</w:t>
            </w:r>
          </w:p>
        </w:tc>
        <w:tc>
          <w:tcPr>
            <w:tcW w:w="1976" w:type="dxa"/>
            <w:noWrap w:val="0"/>
            <w:vAlign w:val="top"/>
          </w:tcPr>
          <w:p>
            <w:pPr>
              <w:keepNext w:val="0"/>
              <w:keepLines w:val="0"/>
              <w:pageBreakBefore w:val="0"/>
              <w:widowControl/>
              <w:kinsoku/>
              <w:wordWrap/>
              <w:overflowPunct/>
              <w:topLinePunct w:val="0"/>
              <w:autoSpaceDE/>
              <w:autoSpaceDN/>
              <w:bidi w:val="0"/>
              <w:adjustRightInd/>
              <w:snapToGrid/>
              <w:ind w:firstLine="400" w:firstLineChars="200"/>
              <w:jc w:val="center"/>
              <w:textAlignment w:val="auto"/>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6</w:t>
            </w:r>
          </w:p>
        </w:tc>
        <w:tc>
          <w:tcPr>
            <w:tcW w:w="2732" w:type="dxa"/>
            <w:noWrap w:val="0"/>
            <w:vAlign w:val="top"/>
          </w:tcPr>
          <w:p>
            <w:pPr>
              <w:keepNext w:val="0"/>
              <w:keepLines w:val="0"/>
              <w:pageBreakBefore w:val="0"/>
              <w:widowControl/>
              <w:kinsoku/>
              <w:wordWrap/>
              <w:overflowPunct/>
              <w:topLinePunct w:val="0"/>
              <w:autoSpaceDE/>
              <w:autoSpaceDN/>
              <w:bidi w:val="0"/>
              <w:adjustRightInd/>
              <w:snapToGrid/>
              <w:ind w:firstLine="400" w:firstLineChars="200"/>
              <w:jc w:val="center"/>
              <w:textAlignment w:val="auto"/>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2.5</w:t>
            </w:r>
          </w:p>
        </w:tc>
        <w:tc>
          <w:tcPr>
            <w:tcW w:w="2354" w:type="dxa"/>
            <w:noWrap w:val="0"/>
            <w:vAlign w:val="top"/>
          </w:tcPr>
          <w:p>
            <w:pPr>
              <w:keepNext w:val="0"/>
              <w:keepLines w:val="0"/>
              <w:pageBreakBefore w:val="0"/>
              <w:widowControl/>
              <w:kinsoku/>
              <w:wordWrap/>
              <w:overflowPunct/>
              <w:topLinePunct w:val="0"/>
              <w:autoSpaceDE/>
              <w:autoSpaceDN/>
              <w:bidi w:val="0"/>
              <w:adjustRightInd/>
              <w:snapToGrid/>
              <w:ind w:firstLine="400" w:firstLineChars="200"/>
              <w:jc w:val="center"/>
              <w:textAlignment w:val="auto"/>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配套垫片</w:t>
            </w:r>
          </w:p>
        </w:tc>
      </w:tr>
    </w:tbl>
    <w:p>
      <w:pPr>
        <w:keepNext w:val="0"/>
        <w:keepLines w:val="0"/>
        <w:pageBreakBefore w:val="0"/>
        <w:widowControl/>
        <w:kinsoku/>
        <w:wordWrap/>
        <w:overflowPunct/>
        <w:topLinePunct w:val="0"/>
        <w:autoSpaceDE/>
        <w:autoSpaceDN/>
        <w:bidi w:val="0"/>
        <w:adjustRightInd/>
        <w:snapToGrid/>
        <w:ind w:firstLine="400" w:firstLineChars="200"/>
        <w:jc w:val="left"/>
        <w:textAlignment w:val="auto"/>
        <w:rPr>
          <w:rFonts w:hint="eastAsia" w:ascii="Times New Roman" w:hAnsi="Times New Roman" w:eastAsia="宋体" w:cs="Times New Roman"/>
          <w:kern w:val="0"/>
          <w:sz w:val="20"/>
          <w:szCs w:val="20"/>
          <w:lang w:val="fr-FR"/>
        </w:rPr>
      </w:pPr>
    </w:p>
    <w:p>
      <w:pPr>
        <w:keepNext/>
        <w:numPr>
          <w:ilvl w:val="1"/>
          <w:numId w:val="15"/>
        </w:numPr>
        <w:spacing w:before="240" w:after="60"/>
        <w:outlineLvl w:val="1"/>
        <w:rPr>
          <w:rFonts w:hint="eastAsia" w:ascii="Times New Roman" w:hAnsi="Times New Roman" w:eastAsia="宋体" w:cs="Times New Roman"/>
          <w:b/>
          <w:sz w:val="28"/>
          <w:lang w:val="fr-FR" w:eastAsia="zh-CN" w:bidi="ar-SA"/>
        </w:rPr>
      </w:pPr>
      <w:bookmarkStart w:id="423" w:name="_Toc18040"/>
      <w:r>
        <w:rPr>
          <w:rFonts w:hint="eastAsia" w:ascii="Times New Roman" w:hAnsi="Times New Roman" w:eastAsia="宋体" w:cs="Times New Roman"/>
          <w:b/>
          <w:sz w:val="28"/>
          <w:lang w:val="fr-FR" w:eastAsia="zh-CN" w:bidi="ar-SA"/>
        </w:rPr>
        <w:t>结构材质</w:t>
      </w:r>
      <w:bookmarkEnd w:id="423"/>
    </w:p>
    <w:p>
      <w:pPr>
        <w:widowControl/>
        <w:numPr>
          <w:ilvl w:val="0"/>
          <w:numId w:val="16"/>
        </w:numPr>
        <w:ind w:left="425" w:leftChars="0" w:hanging="425" w:firstLineChars="0"/>
        <w:jc w:val="left"/>
        <w:rPr>
          <w:rFonts w:hint="eastAsia" w:ascii="Times New Roman" w:hAnsi="Times New Roman" w:eastAsia="宋体" w:cs="Times New Roman"/>
          <w:kern w:val="0"/>
          <w:sz w:val="20"/>
          <w:szCs w:val="20"/>
          <w:highlight w:val="none"/>
          <w:lang w:val="fr-FR"/>
        </w:rPr>
      </w:pPr>
      <w:r>
        <w:rPr>
          <w:rFonts w:hint="eastAsia" w:ascii="Times New Roman" w:hAnsi="Times New Roman" w:eastAsia="宋体" w:cs="Times New Roman"/>
          <w:kern w:val="0"/>
          <w:sz w:val="20"/>
          <w:szCs w:val="20"/>
          <w:lang w:val="fr-FR"/>
        </w:rPr>
        <w:t xml:space="preserve">膜 </w:t>
      </w:r>
      <w:r>
        <w:rPr>
          <w:rFonts w:hint="eastAsia" w:ascii="Times New Roman" w:hAnsi="Times New Roman" w:eastAsia="宋体" w:cs="Times New Roman"/>
          <w:kern w:val="0"/>
          <w:sz w:val="20"/>
          <w:szCs w:val="20"/>
          <w:lang w:val="fr-FR" w:eastAsia="zh-CN"/>
        </w:rPr>
        <w:t>：</w:t>
      </w:r>
      <w:r>
        <w:rPr>
          <w:rFonts w:hint="eastAsia" w:ascii="Times New Roman" w:hAnsi="Times New Roman" w:eastAsia="宋体" w:cs="Times New Roman"/>
          <w:kern w:val="0"/>
          <w:sz w:val="20"/>
          <w:szCs w:val="20"/>
          <w:lang w:val="fr-FR"/>
        </w:rPr>
        <w:t>膜为聚醚砜材质</w:t>
      </w:r>
      <w:r>
        <w:rPr>
          <w:rFonts w:hint="eastAsia" w:ascii="Times New Roman" w:hAnsi="Times New Roman" w:eastAsia="宋体" w:cs="Times New Roman"/>
          <w:kern w:val="0"/>
          <w:sz w:val="20"/>
          <w:szCs w:val="20"/>
          <w:lang w:val="fr-FR" w:eastAsia="zh-CN"/>
        </w:rPr>
        <w:t>，</w:t>
      </w:r>
      <w:r>
        <w:rPr>
          <w:rFonts w:hint="eastAsia" w:ascii="Times New Roman" w:hAnsi="Times New Roman" w:eastAsia="宋体" w:cs="Times New Roman"/>
          <w:kern w:val="0"/>
          <w:sz w:val="20"/>
          <w:szCs w:val="20"/>
          <w:lang w:val="fr-FR"/>
        </w:rPr>
        <w:t>基质为多孔聚烯烃。</w:t>
      </w:r>
      <w:r>
        <w:rPr>
          <w:rFonts w:hint="eastAsia" w:ascii="Times New Roman" w:hAnsi="Times New Roman" w:eastAsia="宋体" w:cs="Times New Roman"/>
          <w:kern w:val="0"/>
          <w:sz w:val="20"/>
          <w:szCs w:val="20"/>
          <w:highlight w:val="none"/>
          <w:lang w:val="fr-FR"/>
        </w:rPr>
        <w:t xml:space="preserve">支撑层厚度为 220µm。 </w:t>
      </w:r>
    </w:p>
    <w:p>
      <w:pPr>
        <w:widowControl/>
        <w:numPr>
          <w:ilvl w:val="0"/>
          <w:numId w:val="16"/>
        </w:numPr>
        <w:ind w:left="425" w:leftChars="0" w:hanging="425" w:firstLineChars="0"/>
        <w:jc w:val="left"/>
        <w:rPr>
          <w:rFonts w:hint="eastAsia" w:ascii="Times New Roman" w:hAnsi="Times New Roman" w:eastAsia="宋体" w:cs="Times New Roman"/>
          <w:kern w:val="0"/>
          <w:sz w:val="20"/>
          <w:szCs w:val="20"/>
          <w:highlight w:val="none"/>
          <w:lang w:val="fr-FR"/>
        </w:rPr>
      </w:pPr>
      <w:r>
        <w:rPr>
          <w:rFonts w:hint="eastAsia" w:ascii="Times New Roman" w:hAnsi="Times New Roman" w:eastAsia="宋体" w:cs="Times New Roman"/>
          <w:kern w:val="0"/>
          <w:sz w:val="20"/>
          <w:szCs w:val="20"/>
          <w:highlight w:val="none"/>
          <w:lang w:val="fr-FR"/>
        </w:rPr>
        <w:t xml:space="preserve">筛网 </w:t>
      </w:r>
      <w:r>
        <w:rPr>
          <w:rFonts w:hint="eastAsia" w:ascii="Times New Roman" w:hAnsi="Times New Roman" w:eastAsia="宋体" w:cs="Times New Roman"/>
          <w:kern w:val="0"/>
          <w:sz w:val="20"/>
          <w:szCs w:val="20"/>
          <w:highlight w:val="none"/>
          <w:lang w:val="fr-FR" w:eastAsia="zh-CN"/>
        </w:rPr>
        <w:t>：</w:t>
      </w:r>
      <w:r>
        <w:rPr>
          <w:rFonts w:hint="eastAsia" w:ascii="Times New Roman" w:hAnsi="Times New Roman" w:eastAsia="宋体" w:cs="Times New Roman"/>
          <w:kern w:val="0"/>
          <w:sz w:val="20"/>
          <w:szCs w:val="20"/>
          <w:highlight w:val="none"/>
          <w:lang w:val="fr-FR"/>
        </w:rPr>
        <w:t xml:space="preserve">筛网为聚丙烯材质，厚度为 400-425µm。  </w:t>
      </w:r>
    </w:p>
    <w:p>
      <w:pPr>
        <w:widowControl/>
        <w:numPr>
          <w:ilvl w:val="0"/>
          <w:numId w:val="16"/>
        </w:numPr>
        <w:ind w:left="425" w:leftChars="0" w:hanging="425" w:firstLineChars="0"/>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 xml:space="preserve">密封件 </w:t>
      </w:r>
      <w:r>
        <w:rPr>
          <w:rFonts w:hint="eastAsia" w:ascii="Times New Roman" w:hAnsi="Times New Roman" w:eastAsia="宋体" w:cs="Times New Roman"/>
          <w:kern w:val="0"/>
          <w:sz w:val="20"/>
          <w:szCs w:val="20"/>
          <w:lang w:val="fr-FR" w:eastAsia="zh-CN"/>
        </w:rPr>
        <w:t>：</w:t>
      </w:r>
      <w:r>
        <w:rPr>
          <w:rFonts w:hint="eastAsia" w:ascii="Times New Roman" w:hAnsi="Times New Roman" w:eastAsia="宋体" w:cs="Times New Roman"/>
          <w:kern w:val="0"/>
          <w:sz w:val="20"/>
          <w:szCs w:val="20"/>
          <w:lang w:val="fr-FR"/>
        </w:rPr>
        <w:t xml:space="preserve">密封件由铂封硅胶构成 ，符合 70℃下USP VI 级相关规定。 </w:t>
      </w:r>
    </w:p>
    <w:p>
      <w:pPr>
        <w:widowControl/>
        <w:numPr>
          <w:ilvl w:val="0"/>
          <w:numId w:val="16"/>
        </w:numPr>
        <w:ind w:left="425" w:leftChars="0" w:hanging="425" w:firstLineChars="0"/>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 xml:space="preserve">垫片 </w:t>
      </w:r>
      <w:r>
        <w:rPr>
          <w:rFonts w:hint="eastAsia" w:ascii="Times New Roman" w:hAnsi="Times New Roman" w:eastAsia="宋体" w:cs="Times New Roman"/>
          <w:kern w:val="0"/>
          <w:sz w:val="20"/>
          <w:szCs w:val="20"/>
          <w:lang w:val="fr-FR" w:eastAsia="zh-CN"/>
        </w:rPr>
        <w:t>：</w:t>
      </w:r>
      <w:r>
        <w:rPr>
          <w:rFonts w:hint="eastAsia" w:ascii="Times New Roman" w:hAnsi="Times New Roman" w:eastAsia="宋体" w:cs="Times New Roman"/>
          <w:kern w:val="0"/>
          <w:sz w:val="20"/>
          <w:szCs w:val="20"/>
          <w:lang w:val="fr-FR"/>
        </w:rPr>
        <w:t>垫片由医疗等级的铂封硅橡胶构成，符合 70℃下 USP VI 级相关规定。</w:t>
      </w:r>
    </w:p>
    <w:p>
      <w:pPr>
        <w:keepNext/>
        <w:numPr>
          <w:ilvl w:val="0"/>
          <w:numId w:val="15"/>
        </w:numPr>
        <w:spacing w:before="240" w:after="60"/>
        <w:outlineLvl w:val="0"/>
        <w:rPr>
          <w:rFonts w:ascii="Times New Roman" w:hAnsi="Times New Roman" w:eastAsia="宋体" w:cs="Times New Roman"/>
          <w:b/>
          <w:caps/>
          <w:kern w:val="28"/>
          <w:sz w:val="30"/>
          <w:lang w:val="en-US" w:eastAsia="zh-CN" w:bidi="ar-SA"/>
        </w:rPr>
      </w:pPr>
      <w:bookmarkStart w:id="424" w:name="_Toc22992"/>
      <w:bookmarkStart w:id="425" w:name="_Toc14542"/>
      <w:r>
        <w:rPr>
          <w:rFonts w:hint="eastAsia" w:ascii="Times New Roman" w:hAnsi="Times New Roman" w:eastAsia="宋体" w:cs="Times New Roman"/>
          <w:b/>
          <w:caps/>
          <w:kern w:val="28"/>
          <w:sz w:val="30"/>
          <w:lang w:val="en-US" w:eastAsia="zh-CN" w:bidi="ar-SA"/>
        </w:rPr>
        <w:t>技术规格</w:t>
      </w:r>
      <w:bookmarkEnd w:id="424"/>
      <w:bookmarkEnd w:id="425"/>
    </w:p>
    <w:p>
      <w:pPr>
        <w:keepNext/>
        <w:numPr>
          <w:ilvl w:val="1"/>
          <w:numId w:val="15"/>
        </w:numPr>
        <w:spacing w:before="240" w:after="60"/>
        <w:outlineLvl w:val="1"/>
        <w:rPr>
          <w:rFonts w:hint="eastAsia" w:ascii="Times New Roman" w:hAnsi="Times New Roman" w:eastAsia="宋体" w:cs="Times New Roman"/>
          <w:b/>
          <w:sz w:val="28"/>
          <w:lang w:val="fr-FR" w:eastAsia="zh-CN" w:bidi="ar-SA"/>
        </w:rPr>
      </w:pPr>
      <w:bookmarkStart w:id="426" w:name="_Toc28340"/>
      <w:r>
        <w:rPr>
          <w:rFonts w:hint="eastAsia" w:ascii="Times New Roman" w:hAnsi="Times New Roman" w:eastAsia="宋体" w:cs="Times New Roman"/>
          <w:b/>
          <w:sz w:val="28"/>
          <w:lang w:val="fr-FR" w:eastAsia="zh-CN" w:bidi="ar-SA"/>
        </w:rPr>
        <w:t>操作压力和温度</w:t>
      </w:r>
      <w:bookmarkEnd w:id="426"/>
    </w:p>
    <w:p>
      <w:pPr>
        <w:keepNext w:val="0"/>
        <w:keepLines w:val="0"/>
        <w:pageBreakBefore w:val="0"/>
        <w:widowControl/>
        <w:numPr>
          <w:ilvl w:val="0"/>
          <w:numId w:val="17"/>
        </w:numPr>
        <w:kinsoku/>
        <w:wordWrap/>
        <w:overflowPunct/>
        <w:topLinePunct w:val="0"/>
        <w:autoSpaceDE/>
        <w:autoSpaceDN/>
        <w:bidi w:val="0"/>
        <w:adjustRightInd/>
        <w:snapToGrid/>
        <w:ind w:left="425" w:leftChars="0" w:hanging="425" w:firstLineChars="0"/>
        <w:jc w:val="left"/>
        <w:textAlignment w:val="auto"/>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操作压力</w:t>
      </w:r>
      <w:r>
        <w:rPr>
          <w:rFonts w:hint="eastAsia" w:ascii="Times New Roman" w:hAnsi="Times New Roman" w:eastAsia="宋体" w:cs="Times New Roman"/>
          <w:kern w:val="0"/>
          <w:sz w:val="20"/>
          <w:szCs w:val="20"/>
          <w:lang w:val="fr-FR"/>
        </w:rPr>
        <w:t>0.</w:t>
      </w:r>
      <w:r>
        <w:rPr>
          <w:rFonts w:hint="eastAsia" w:ascii="Times New Roman" w:hAnsi="Times New Roman" w:eastAsia="宋体" w:cs="Times New Roman"/>
          <w:kern w:val="0"/>
          <w:sz w:val="20"/>
          <w:szCs w:val="20"/>
          <w:lang w:val="en-US" w:eastAsia="zh-CN"/>
        </w:rPr>
        <w:t>2MPa ,</w:t>
      </w:r>
      <w:r>
        <w:rPr>
          <w:rFonts w:hint="eastAsia" w:ascii="Times New Roman" w:hAnsi="Times New Roman" w:eastAsia="宋体" w:cs="Times New Roman"/>
          <w:kern w:val="0"/>
          <w:sz w:val="20"/>
          <w:szCs w:val="20"/>
          <w:lang w:val="en-US"/>
        </w:rPr>
        <w:t>膜包</w:t>
      </w:r>
      <w:r>
        <w:rPr>
          <w:rFonts w:hint="eastAsia" w:ascii="Times New Roman" w:hAnsi="Times New Roman" w:eastAsia="宋体" w:cs="Times New Roman"/>
          <w:kern w:val="0"/>
          <w:sz w:val="20"/>
          <w:szCs w:val="20"/>
          <w:lang w:val="en-US" w:eastAsia="zh-CN"/>
        </w:rPr>
        <w:t>材质承受最大</w:t>
      </w:r>
      <w:r>
        <w:rPr>
          <w:rFonts w:hint="eastAsia" w:ascii="Times New Roman" w:hAnsi="Times New Roman" w:eastAsia="宋体" w:cs="Times New Roman"/>
          <w:kern w:val="0"/>
          <w:sz w:val="20"/>
          <w:szCs w:val="20"/>
          <w:lang w:val="en-US"/>
        </w:rPr>
        <w:t>压力</w:t>
      </w:r>
      <w:r>
        <w:rPr>
          <w:rFonts w:hint="eastAsia" w:ascii="Times New Roman" w:hAnsi="Times New Roman" w:eastAsia="宋体" w:cs="Times New Roman"/>
          <w:kern w:val="0"/>
          <w:sz w:val="20"/>
          <w:szCs w:val="20"/>
          <w:lang w:val="fr-FR"/>
        </w:rPr>
        <w:t>0.</w:t>
      </w:r>
      <w:r>
        <w:rPr>
          <w:rFonts w:hint="eastAsia" w:ascii="Times New Roman" w:hAnsi="Times New Roman" w:eastAsia="宋体" w:cs="Times New Roman"/>
          <w:kern w:val="0"/>
          <w:sz w:val="20"/>
          <w:szCs w:val="20"/>
          <w:lang w:val="en-US" w:eastAsia="zh-CN"/>
        </w:rPr>
        <w:t>6MPa 。</w:t>
      </w:r>
    </w:p>
    <w:p>
      <w:pPr>
        <w:keepNext w:val="0"/>
        <w:keepLines w:val="0"/>
        <w:pageBreakBefore w:val="0"/>
        <w:widowControl/>
        <w:numPr>
          <w:ilvl w:val="0"/>
          <w:numId w:val="17"/>
        </w:numPr>
        <w:kinsoku/>
        <w:wordWrap/>
        <w:overflowPunct/>
        <w:topLinePunct w:val="0"/>
        <w:autoSpaceDE/>
        <w:autoSpaceDN/>
        <w:bidi w:val="0"/>
        <w:adjustRightInd/>
        <w:snapToGrid/>
        <w:ind w:left="425" w:leftChars="0" w:hanging="425" w:firstLineChars="0"/>
        <w:jc w:val="left"/>
        <w:textAlignment w:val="auto"/>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操作介质</w:t>
      </w:r>
      <w:r>
        <w:rPr>
          <w:rFonts w:hint="eastAsia" w:ascii="Times New Roman" w:hAnsi="Times New Roman" w:eastAsia="宋体" w:cs="Times New Roman"/>
          <w:kern w:val="0"/>
          <w:sz w:val="20"/>
          <w:szCs w:val="20"/>
          <w:lang w:val="en-US"/>
        </w:rPr>
        <w:t>温度</w:t>
      </w:r>
      <w:r>
        <w:rPr>
          <w:rFonts w:hint="eastAsia" w:ascii="Times New Roman" w:hAnsi="Times New Roman" w:eastAsia="宋体" w:cs="Times New Roman"/>
          <w:kern w:val="0"/>
          <w:sz w:val="20"/>
          <w:szCs w:val="20"/>
          <w:lang w:val="en-US" w:eastAsia="zh-CN"/>
        </w:rPr>
        <w:t>-5至55℃。</w:t>
      </w:r>
    </w:p>
    <w:p>
      <w:pPr>
        <w:keepNext w:val="0"/>
        <w:keepLines w:val="0"/>
        <w:pageBreakBefore w:val="0"/>
        <w:widowControl/>
        <w:numPr>
          <w:ilvl w:val="0"/>
          <w:numId w:val="17"/>
        </w:numPr>
        <w:kinsoku/>
        <w:wordWrap/>
        <w:overflowPunct/>
        <w:topLinePunct w:val="0"/>
        <w:autoSpaceDE/>
        <w:autoSpaceDN/>
        <w:bidi w:val="0"/>
        <w:adjustRightInd/>
        <w:snapToGrid/>
        <w:ind w:left="425" w:leftChars="0" w:hanging="425" w:firstLineChars="0"/>
        <w:jc w:val="left"/>
        <w:textAlignment w:val="auto"/>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TMP跨膜</w:t>
      </w:r>
      <w:r>
        <w:rPr>
          <w:rFonts w:hint="eastAsia" w:ascii="Times New Roman" w:hAnsi="Times New Roman" w:eastAsia="宋体" w:cs="Times New Roman"/>
          <w:kern w:val="0"/>
          <w:sz w:val="20"/>
          <w:szCs w:val="20"/>
          <w:lang w:val="en-US"/>
        </w:rPr>
        <w:t>压差</w:t>
      </w:r>
      <w:r>
        <w:rPr>
          <w:rFonts w:hint="eastAsia" w:ascii="Times New Roman" w:hAnsi="Times New Roman" w:eastAsia="宋体" w:cs="Times New Roman"/>
          <w:kern w:val="0"/>
          <w:sz w:val="20"/>
          <w:szCs w:val="20"/>
          <w:lang w:val="en-US" w:eastAsia="zh-CN"/>
        </w:rPr>
        <w:t>不超过</w:t>
      </w:r>
      <w:r>
        <w:rPr>
          <w:rFonts w:hint="eastAsia" w:ascii="Times New Roman" w:hAnsi="Times New Roman" w:eastAsia="宋体" w:cs="Times New Roman"/>
          <w:kern w:val="0"/>
          <w:sz w:val="20"/>
          <w:szCs w:val="20"/>
          <w:lang w:val="fr-FR"/>
        </w:rPr>
        <w:t>0.</w:t>
      </w:r>
      <w:r>
        <w:rPr>
          <w:rFonts w:hint="eastAsia" w:ascii="Times New Roman" w:hAnsi="Times New Roman" w:eastAsia="宋体" w:cs="Times New Roman"/>
          <w:kern w:val="0"/>
          <w:sz w:val="20"/>
          <w:szCs w:val="20"/>
          <w:lang w:val="en-US" w:eastAsia="zh-CN"/>
        </w:rPr>
        <w:t>4MPa .</w:t>
      </w:r>
    </w:p>
    <w:p>
      <w:pPr>
        <w:keepNext w:val="0"/>
        <w:keepLines w:val="0"/>
        <w:pageBreakBefore w:val="0"/>
        <w:widowControl/>
        <w:numPr>
          <w:ilvl w:val="0"/>
          <w:numId w:val="17"/>
        </w:numPr>
        <w:kinsoku/>
        <w:wordWrap/>
        <w:overflowPunct/>
        <w:topLinePunct w:val="0"/>
        <w:autoSpaceDE/>
        <w:autoSpaceDN/>
        <w:bidi w:val="0"/>
        <w:adjustRightInd/>
        <w:snapToGrid/>
        <w:ind w:left="425" w:leftChars="0" w:hanging="425" w:firstLineChars="0"/>
        <w:jc w:val="left"/>
        <w:textAlignment w:val="auto"/>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介质</w:t>
      </w:r>
      <w:r>
        <w:rPr>
          <w:rFonts w:hint="eastAsia" w:ascii="Times New Roman" w:hAnsi="Times New Roman" w:eastAsia="宋体" w:cs="Times New Roman"/>
          <w:kern w:val="0"/>
          <w:sz w:val="20"/>
          <w:szCs w:val="20"/>
          <w:lang w:val="en-US"/>
        </w:rPr>
        <w:t>PH</w:t>
      </w:r>
      <w:r>
        <w:rPr>
          <w:rFonts w:hint="eastAsia" w:ascii="Times New Roman" w:hAnsi="Times New Roman" w:eastAsia="宋体" w:cs="Times New Roman"/>
          <w:kern w:val="0"/>
          <w:sz w:val="20"/>
          <w:szCs w:val="20"/>
          <w:lang w:val="en-US" w:eastAsia="zh-CN"/>
        </w:rPr>
        <w:t>范围4.5-8。</w:t>
      </w:r>
    </w:p>
    <w:p>
      <w:pPr>
        <w:keepNext w:val="0"/>
        <w:keepLines w:val="0"/>
        <w:pageBreakBefore w:val="0"/>
        <w:widowControl/>
        <w:kinsoku/>
        <w:wordWrap/>
        <w:overflowPunct/>
        <w:topLinePunct w:val="0"/>
        <w:autoSpaceDE/>
        <w:autoSpaceDN/>
        <w:bidi w:val="0"/>
        <w:adjustRightInd/>
        <w:snapToGrid/>
        <w:ind w:firstLine="400" w:firstLineChars="200"/>
        <w:jc w:val="left"/>
        <w:textAlignment w:val="auto"/>
        <w:rPr>
          <w:rFonts w:hint="eastAsia" w:ascii="Times New Roman" w:hAnsi="Times New Roman" w:eastAsia="宋体" w:cs="Times New Roman"/>
          <w:kern w:val="0"/>
          <w:sz w:val="20"/>
          <w:szCs w:val="20"/>
          <w:lang w:val="en-US" w:eastAsia="zh-CN"/>
        </w:rPr>
      </w:pPr>
    </w:p>
    <w:p>
      <w:pPr>
        <w:widowControl/>
        <w:jc w:val="left"/>
        <w:rPr>
          <w:rFonts w:hint="eastAsia" w:ascii="Times New Roman" w:hAnsi="Times New Roman" w:eastAsia="宋体" w:cs="Times New Roman"/>
          <w:kern w:val="0"/>
          <w:sz w:val="20"/>
          <w:szCs w:val="20"/>
          <w:lang w:val="en-US" w:eastAsia="zh-CN"/>
        </w:rPr>
      </w:pPr>
    </w:p>
    <w:p>
      <w:pPr>
        <w:keepNext/>
        <w:numPr>
          <w:ilvl w:val="1"/>
          <w:numId w:val="15"/>
        </w:numPr>
        <w:spacing w:before="240" w:after="60"/>
        <w:outlineLvl w:val="1"/>
        <w:rPr>
          <w:rFonts w:hint="eastAsia" w:ascii="Times New Roman" w:hAnsi="Times New Roman" w:eastAsia="宋体" w:cs="Times New Roman"/>
          <w:b/>
          <w:sz w:val="28"/>
          <w:lang w:val="fr-FR" w:eastAsia="zh-CN" w:bidi="ar-SA"/>
        </w:rPr>
      </w:pPr>
      <w:r>
        <w:rPr>
          <w:rFonts w:hint="eastAsia" w:ascii="Times New Roman" w:hAnsi="Times New Roman" w:eastAsia="宋体" w:cs="Times New Roman"/>
          <w:b/>
          <w:sz w:val="28"/>
          <w:lang w:val="fr-FR" w:eastAsia="zh-CN" w:bidi="ar-SA"/>
        </w:rPr>
        <w:t xml:space="preserve"> </w:t>
      </w:r>
      <w:bookmarkStart w:id="427" w:name="_Toc6770"/>
      <w:r>
        <w:rPr>
          <w:rFonts w:hint="eastAsia" w:ascii="Times New Roman" w:hAnsi="Times New Roman" w:eastAsia="宋体" w:cs="Times New Roman"/>
          <w:b/>
          <w:sz w:val="28"/>
          <w:lang w:val="fr-FR" w:eastAsia="zh-CN" w:bidi="ar-SA"/>
        </w:rPr>
        <w:t>标准水通量(NWP)范围</w:t>
      </w:r>
      <w:bookmarkEnd w:id="427"/>
    </w:p>
    <w:p>
      <w:pPr>
        <w:keepNext w:val="0"/>
        <w:keepLines w:val="0"/>
        <w:pageBreakBefore w:val="0"/>
        <w:widowControl/>
        <w:numPr>
          <w:ilvl w:val="0"/>
          <w:numId w:val="0"/>
        </w:numPr>
        <w:kinsoku/>
        <w:wordWrap/>
        <w:overflowPunct/>
        <w:topLinePunct w:val="0"/>
        <w:autoSpaceDE/>
        <w:autoSpaceDN/>
        <w:bidi w:val="0"/>
        <w:adjustRightInd/>
        <w:snapToGrid/>
        <w:ind w:leftChars="0" w:firstLine="400" w:firstLineChars="200"/>
        <w:jc w:val="left"/>
        <w:textAlignment w:val="auto"/>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NWP测量膜的水透过率应满足产品的控制指标。</w:t>
      </w:r>
    </w:p>
    <w:p>
      <w:pPr>
        <w:widowControl/>
        <w:jc w:val="left"/>
        <w:rPr>
          <w:rFonts w:hint="eastAsia" w:ascii="Times New Roman" w:hAnsi="Times New Roman" w:eastAsia="宋体" w:cs="Times New Roman"/>
          <w:kern w:val="0"/>
          <w:sz w:val="20"/>
          <w:szCs w:val="20"/>
          <w:lang w:val="fr-FR"/>
        </w:rPr>
      </w:pPr>
    </w:p>
    <w:p>
      <w:pPr>
        <w:keepNext/>
        <w:numPr>
          <w:ilvl w:val="1"/>
          <w:numId w:val="15"/>
        </w:numPr>
        <w:spacing w:before="240" w:after="60"/>
        <w:outlineLvl w:val="1"/>
        <w:rPr>
          <w:rFonts w:hint="eastAsia" w:ascii="Times New Roman" w:hAnsi="Times New Roman" w:eastAsia="宋体" w:cs="Times New Roman"/>
          <w:b/>
          <w:sz w:val="28"/>
          <w:lang w:val="fr-FR" w:eastAsia="zh-CN" w:bidi="ar-SA"/>
        </w:rPr>
      </w:pPr>
      <w:bookmarkStart w:id="428" w:name="_Toc4708"/>
      <w:r>
        <w:rPr>
          <w:rFonts w:hint="eastAsia" w:ascii="Times New Roman" w:hAnsi="Times New Roman" w:eastAsia="宋体" w:cs="Times New Roman"/>
          <w:b/>
          <w:sz w:val="28"/>
          <w:lang w:val="fr-FR" w:eastAsia="zh-CN" w:bidi="ar-SA"/>
        </w:rPr>
        <w:t>膜完整性</w:t>
      </w:r>
      <w:bookmarkEnd w:id="428"/>
    </w:p>
    <w:p>
      <w:pPr>
        <w:keepNext w:val="0"/>
        <w:keepLines w:val="0"/>
        <w:pageBreakBefore w:val="0"/>
        <w:widowControl/>
        <w:numPr>
          <w:ilvl w:val="0"/>
          <w:numId w:val="0"/>
        </w:numPr>
        <w:kinsoku/>
        <w:wordWrap/>
        <w:overflowPunct/>
        <w:topLinePunct w:val="0"/>
        <w:autoSpaceDE/>
        <w:autoSpaceDN/>
        <w:bidi w:val="0"/>
        <w:adjustRightInd/>
        <w:snapToGrid/>
        <w:ind w:leftChars="0" w:firstLine="400" w:firstLineChars="200"/>
        <w:jc w:val="left"/>
        <w:textAlignment w:val="auto"/>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膜包出厂前其膜前进流完整性测试值应合格。</w:t>
      </w:r>
    </w:p>
    <w:p>
      <w:pPr>
        <w:keepNext w:val="0"/>
        <w:keepLines w:val="0"/>
        <w:pageBreakBefore w:val="0"/>
        <w:widowControl/>
        <w:numPr>
          <w:ilvl w:val="0"/>
          <w:numId w:val="0"/>
        </w:numPr>
        <w:kinsoku/>
        <w:wordWrap/>
        <w:overflowPunct/>
        <w:topLinePunct w:val="0"/>
        <w:autoSpaceDE/>
        <w:autoSpaceDN/>
        <w:bidi w:val="0"/>
        <w:adjustRightInd/>
        <w:snapToGrid/>
        <w:ind w:leftChars="0" w:firstLine="400" w:firstLineChars="200"/>
        <w:jc w:val="left"/>
        <w:textAlignment w:val="auto"/>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膜的完整性是测量空气在指定压力下的前进流以判断膜的完整性。空气的前进流是对通过膜孔内液体的空气扩散、通过开放孔的空气流量、加上密封圈周围的空气泄漏进行的测量。</w:t>
      </w:r>
    </w:p>
    <w:p>
      <w:pPr>
        <w:widowControl/>
        <w:numPr>
          <w:ilvl w:val="0"/>
          <w:numId w:val="0"/>
        </w:numPr>
        <w:ind w:leftChars="0"/>
        <w:jc w:val="center"/>
        <w:rPr>
          <w:rFonts w:hint="eastAsia" w:ascii="Times New Roman" w:hAnsi="Times New Roman" w:eastAsia="宋体" w:cs="Times New Roman"/>
          <w:kern w:val="0"/>
          <w:sz w:val="20"/>
          <w:szCs w:val="20"/>
          <w:lang w:val="fr-FR"/>
        </w:rPr>
      </w:pPr>
    </w:p>
    <w:p>
      <w:pPr>
        <w:keepNext/>
        <w:numPr>
          <w:ilvl w:val="1"/>
          <w:numId w:val="15"/>
        </w:numPr>
        <w:spacing w:before="240" w:after="60"/>
        <w:outlineLvl w:val="1"/>
        <w:rPr>
          <w:rFonts w:hint="eastAsia" w:ascii="Times New Roman" w:hAnsi="Times New Roman" w:eastAsia="宋体" w:cs="Times New Roman"/>
          <w:b/>
          <w:sz w:val="28"/>
          <w:lang w:val="fr-FR" w:eastAsia="zh-CN" w:bidi="ar-SA"/>
        </w:rPr>
      </w:pPr>
      <w:bookmarkStart w:id="429" w:name="_Toc18873"/>
      <w:r>
        <w:rPr>
          <w:rFonts w:hint="eastAsia" w:ascii="Times New Roman" w:hAnsi="Times New Roman" w:eastAsia="宋体" w:cs="Times New Roman"/>
          <w:b/>
          <w:sz w:val="28"/>
          <w:lang w:val="fr-FR" w:eastAsia="zh-CN" w:bidi="ar-SA"/>
        </w:rPr>
        <w:t>化学兼容性</w:t>
      </w:r>
      <w:bookmarkEnd w:id="429"/>
    </w:p>
    <w:p>
      <w:pPr>
        <w:keepNext w:val="0"/>
        <w:keepLines w:val="0"/>
        <w:pageBreakBefore w:val="0"/>
        <w:widowControl/>
        <w:numPr>
          <w:ilvl w:val="0"/>
          <w:numId w:val="0"/>
        </w:numPr>
        <w:kinsoku/>
        <w:wordWrap/>
        <w:overflowPunct/>
        <w:topLinePunct w:val="0"/>
        <w:autoSpaceDE/>
        <w:autoSpaceDN/>
        <w:bidi w:val="0"/>
        <w:adjustRightInd/>
        <w:snapToGrid/>
        <w:ind w:leftChars="0" w:firstLine="400" w:firstLineChars="200"/>
        <w:jc w:val="left"/>
        <w:textAlignment w:val="auto"/>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常用清洁剂：氢氧化钠及次氯酸钠用于膜包的清洗、消毒及除热原。</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在室温下用水冲洗一定时间后使用0.5 N氢氧化钠+ 500 PPM次氯酸钠在 45 ℃下循环2小时。这个过程重复10次或保证共20小时接触时间。在第五次和第十次循环结束后对膜包进行测定。测定结果为，膜包在0.5 N氢氧化钠+ 500 PPM次氯酸钠45 °C经过10个循环（20小时接触时间）后，膜包的所有测试参数如完整性、压差及标准水通量均在正常的运行参数范围内。</w:t>
      </w:r>
    </w:p>
    <w:p>
      <w:pPr>
        <w:keepNext w:val="0"/>
        <w:keepLines w:val="0"/>
        <w:pageBreakBefore w:val="0"/>
        <w:widowControl/>
        <w:numPr>
          <w:ilvl w:val="0"/>
          <w:numId w:val="0"/>
        </w:numPr>
        <w:kinsoku/>
        <w:wordWrap/>
        <w:overflowPunct/>
        <w:topLinePunct w:val="0"/>
        <w:autoSpaceDE/>
        <w:autoSpaceDN/>
        <w:bidi w:val="0"/>
        <w:adjustRightInd/>
        <w:snapToGrid/>
        <w:ind w:leftChars="0" w:firstLine="400" w:firstLineChars="200"/>
        <w:jc w:val="left"/>
        <w:textAlignment w:val="auto"/>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膜包厂家应提供本产品膜包在与化学溶液验证报告，膜的完整性应无明显变化。</w:t>
      </w:r>
    </w:p>
    <w:p>
      <w:pPr>
        <w:keepNext/>
        <w:numPr>
          <w:ilvl w:val="0"/>
          <w:numId w:val="15"/>
        </w:numPr>
        <w:spacing w:before="240" w:after="60"/>
        <w:outlineLvl w:val="0"/>
        <w:rPr>
          <w:rFonts w:hint="eastAsia" w:ascii="Times New Roman" w:hAnsi="Times New Roman" w:eastAsia="宋体" w:cs="Times New Roman"/>
          <w:b/>
          <w:caps/>
          <w:kern w:val="28"/>
          <w:sz w:val="30"/>
          <w:lang w:val="fr-FR" w:eastAsia="zh-CN" w:bidi="ar-SA"/>
        </w:rPr>
      </w:pPr>
      <w:r>
        <w:rPr>
          <w:rFonts w:hint="eastAsia" w:ascii="Times New Roman" w:hAnsi="Times New Roman" w:eastAsia="宋体" w:cs="Times New Roman"/>
          <w:b/>
          <w:caps/>
          <w:kern w:val="28"/>
          <w:sz w:val="30"/>
          <w:lang w:val="en-US" w:eastAsia="zh-CN" w:bidi="ar-SA"/>
        </w:rPr>
        <w:t>膜包适配性</w:t>
      </w:r>
    </w:p>
    <w:p>
      <w:pPr>
        <w:widowControl/>
        <w:jc w:val="left"/>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膜包应适配PAll和M</w:t>
      </w:r>
      <w:r>
        <w:rPr>
          <w:rFonts w:hint="eastAsia" w:ascii="Times New Roman" w:hAnsi="Times New Roman" w:eastAsia="宋体" w:cs="Times New Roman"/>
          <w:kern w:val="0"/>
          <w:sz w:val="20"/>
          <w:szCs w:val="20"/>
          <w:lang w:val="fr-FR"/>
        </w:rPr>
        <w:t>illipore</w:t>
      </w:r>
      <w:r>
        <w:rPr>
          <w:rFonts w:hint="eastAsia" w:ascii="Times New Roman" w:hAnsi="Times New Roman" w:eastAsia="宋体" w:cs="Times New Roman"/>
          <w:kern w:val="0"/>
          <w:sz w:val="20"/>
          <w:szCs w:val="20"/>
          <w:lang w:val="en-US" w:eastAsia="zh-CN"/>
        </w:rPr>
        <w:t>设备夹具。</w:t>
      </w:r>
    </w:p>
    <w:p>
      <w:pPr>
        <w:keepNext/>
        <w:numPr>
          <w:ilvl w:val="0"/>
          <w:numId w:val="15"/>
        </w:numPr>
        <w:spacing w:before="240" w:after="60"/>
        <w:outlineLvl w:val="0"/>
        <w:rPr>
          <w:rFonts w:hint="eastAsia" w:ascii="Times New Roman" w:hAnsi="Times New Roman" w:eastAsia="宋体" w:cs="Times New Roman"/>
          <w:b/>
          <w:caps/>
          <w:kern w:val="28"/>
          <w:sz w:val="30"/>
          <w:lang w:val="fr-FR" w:eastAsia="zh-CN" w:bidi="ar-SA"/>
        </w:rPr>
      </w:pPr>
      <w:r>
        <w:rPr>
          <w:rFonts w:hint="eastAsia" w:ascii="Times New Roman" w:hAnsi="Times New Roman" w:eastAsia="宋体" w:cs="Times New Roman"/>
          <w:b/>
          <w:caps/>
          <w:kern w:val="28"/>
          <w:sz w:val="30"/>
          <w:lang w:val="en-US" w:eastAsia="zh-CN" w:bidi="ar-SA"/>
        </w:rPr>
        <w:t>交货周期及售后服务</w:t>
      </w:r>
    </w:p>
    <w:p>
      <w:pPr>
        <w:widowControl/>
        <w:numPr>
          <w:ilvl w:val="0"/>
          <w:numId w:val="18"/>
        </w:numPr>
        <w:ind w:left="50" w:leftChars="0" w:firstLine="0" w:firstLineChars="0"/>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订单下达后，应交货三个月内生产的产品</w:t>
      </w:r>
    </w:p>
    <w:p>
      <w:pPr>
        <w:widowControl/>
        <w:numPr>
          <w:ilvl w:val="0"/>
          <w:numId w:val="18"/>
        </w:numPr>
        <w:ind w:left="50" w:leftChars="0" w:firstLine="0" w:firstLineChars="0"/>
        <w:jc w:val="left"/>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订单下达后，交货日期不超过40天。</w:t>
      </w:r>
    </w:p>
    <w:p>
      <w:pPr>
        <w:widowControl/>
        <w:numPr>
          <w:ilvl w:val="0"/>
          <w:numId w:val="18"/>
        </w:numPr>
        <w:ind w:left="50" w:leftChars="0" w:firstLine="0" w:firstLineChars="0"/>
        <w:jc w:val="left"/>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膜包厂家技术人员负责膜包初始水通量测定及膜包完整性检测、使用培训。</w:t>
      </w:r>
    </w:p>
    <w:p>
      <w:pPr>
        <w:pStyle w:val="2"/>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p>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B3B6B4"/>
    <w:multiLevelType w:val="singleLevel"/>
    <w:tmpl w:val="CCB3B6B4"/>
    <w:lvl w:ilvl="0" w:tentative="0">
      <w:start w:val="1"/>
      <w:numFmt w:val="decimal"/>
      <w:lvlText w:val="%1."/>
      <w:lvlJc w:val="left"/>
      <w:pPr>
        <w:tabs>
          <w:tab w:val="left" w:pos="312"/>
        </w:tabs>
        <w:ind w:left="50" w:firstLine="0"/>
      </w:pPr>
    </w:lvl>
  </w:abstractNum>
  <w:abstractNum w:abstractNumId="1">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2">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3">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929"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6">
    <w:nsid w:val="04374D16"/>
    <w:multiLevelType w:val="singleLevel"/>
    <w:tmpl w:val="04374D16"/>
    <w:lvl w:ilvl="0" w:tentative="0">
      <w:start w:val="1"/>
      <w:numFmt w:val="decimal"/>
      <w:lvlText w:val="%1."/>
      <w:lvlJc w:val="left"/>
      <w:pPr>
        <w:ind w:left="425" w:hanging="425"/>
      </w:pPr>
      <w:rPr>
        <w:rFonts w:hint="default"/>
      </w:rPr>
    </w:lvl>
  </w:abstractNum>
  <w:abstractNum w:abstractNumId="7">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9">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3">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4">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5">
    <w:nsid w:val="6DC8569B"/>
    <w:multiLevelType w:val="singleLevel"/>
    <w:tmpl w:val="6DC8569B"/>
    <w:lvl w:ilvl="0" w:tentative="0">
      <w:start w:val="1"/>
      <w:numFmt w:val="decimal"/>
      <w:lvlText w:val="%1."/>
      <w:lvlJc w:val="left"/>
      <w:pPr>
        <w:ind w:left="425" w:hanging="425"/>
      </w:pPr>
      <w:rPr>
        <w:rFonts w:hint="default"/>
      </w:rPr>
    </w:lvl>
  </w:abstractNum>
  <w:abstractNum w:abstractNumId="16">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7">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10"/>
  </w:num>
  <w:num w:numId="2">
    <w:abstractNumId w:val="2"/>
  </w:num>
  <w:num w:numId="3">
    <w:abstractNumId w:val="4"/>
  </w:num>
  <w:num w:numId="4">
    <w:abstractNumId w:val="17"/>
  </w:num>
  <w:num w:numId="5">
    <w:abstractNumId w:val="3"/>
  </w:num>
  <w:num w:numId="6">
    <w:abstractNumId w:val="16"/>
  </w:num>
  <w:num w:numId="7">
    <w:abstractNumId w:val="12"/>
  </w:num>
  <w:num w:numId="8">
    <w:abstractNumId w:val="7"/>
  </w:num>
  <w:num w:numId="9">
    <w:abstractNumId w:val="1"/>
  </w:num>
  <w:num w:numId="10">
    <w:abstractNumId w:val="13"/>
  </w:num>
  <w:num w:numId="11">
    <w:abstractNumId w:val="11"/>
  </w:num>
  <w:num w:numId="12">
    <w:abstractNumId w:val="14"/>
  </w:num>
  <w:num w:numId="13">
    <w:abstractNumId w:val="8"/>
  </w:num>
  <w:num w:numId="14">
    <w:abstractNumId w:val="9"/>
  </w:num>
  <w:num w:numId="15">
    <w:abstractNumId w:val="5"/>
  </w:num>
  <w:num w:numId="16">
    <w:abstractNumId w:val="6"/>
  </w:num>
  <w:num w:numId="17">
    <w:abstractNumId w:val="1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45E5014"/>
    <w:rsid w:val="05BD6C4F"/>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8F45F1"/>
    <w:rsid w:val="0FC90B63"/>
    <w:rsid w:val="100F10E1"/>
    <w:rsid w:val="114C6D7B"/>
    <w:rsid w:val="119D1D5C"/>
    <w:rsid w:val="124848DD"/>
    <w:rsid w:val="12AF40AF"/>
    <w:rsid w:val="142C6408"/>
    <w:rsid w:val="143E54A0"/>
    <w:rsid w:val="149208C7"/>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1F64EF"/>
    <w:rsid w:val="21517356"/>
    <w:rsid w:val="217E3D4D"/>
    <w:rsid w:val="21B8302F"/>
    <w:rsid w:val="21ED0E21"/>
    <w:rsid w:val="225D0766"/>
    <w:rsid w:val="22C96A86"/>
    <w:rsid w:val="238649B8"/>
    <w:rsid w:val="23AD4E1E"/>
    <w:rsid w:val="24C741C2"/>
    <w:rsid w:val="25350541"/>
    <w:rsid w:val="258B1F8D"/>
    <w:rsid w:val="268E2E7C"/>
    <w:rsid w:val="27A02191"/>
    <w:rsid w:val="27E04F0C"/>
    <w:rsid w:val="285C308D"/>
    <w:rsid w:val="28865E00"/>
    <w:rsid w:val="289A3148"/>
    <w:rsid w:val="2907617B"/>
    <w:rsid w:val="29A273A6"/>
    <w:rsid w:val="29F518B2"/>
    <w:rsid w:val="2A3B6454"/>
    <w:rsid w:val="2AE26DC9"/>
    <w:rsid w:val="2C9C2EA6"/>
    <w:rsid w:val="2CA86A82"/>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107733"/>
    <w:rsid w:val="3674202A"/>
    <w:rsid w:val="368E0516"/>
    <w:rsid w:val="371116F1"/>
    <w:rsid w:val="379C09D5"/>
    <w:rsid w:val="38023102"/>
    <w:rsid w:val="384D3D8D"/>
    <w:rsid w:val="38A02D03"/>
    <w:rsid w:val="38A92A23"/>
    <w:rsid w:val="39E25AC3"/>
    <w:rsid w:val="3A601B79"/>
    <w:rsid w:val="3A835B30"/>
    <w:rsid w:val="3A9A2C2A"/>
    <w:rsid w:val="3BCD47A7"/>
    <w:rsid w:val="3C440E8D"/>
    <w:rsid w:val="3CC80902"/>
    <w:rsid w:val="3D342B6E"/>
    <w:rsid w:val="3E7034D9"/>
    <w:rsid w:val="3F4534B5"/>
    <w:rsid w:val="402D4B16"/>
    <w:rsid w:val="40B567C2"/>
    <w:rsid w:val="40F23A4C"/>
    <w:rsid w:val="411A359C"/>
    <w:rsid w:val="430D7208"/>
    <w:rsid w:val="4366434B"/>
    <w:rsid w:val="437D37DC"/>
    <w:rsid w:val="44E645F9"/>
    <w:rsid w:val="45E40A76"/>
    <w:rsid w:val="45EB594E"/>
    <w:rsid w:val="48AC304C"/>
    <w:rsid w:val="48CA449B"/>
    <w:rsid w:val="49772E24"/>
    <w:rsid w:val="4B6C5100"/>
    <w:rsid w:val="4BE75898"/>
    <w:rsid w:val="4C0C1018"/>
    <w:rsid w:val="4C52117B"/>
    <w:rsid w:val="4DED1D23"/>
    <w:rsid w:val="4DF06CFE"/>
    <w:rsid w:val="4E1E7926"/>
    <w:rsid w:val="4E2539F2"/>
    <w:rsid w:val="4F9421CB"/>
    <w:rsid w:val="4FE85234"/>
    <w:rsid w:val="50C06A6F"/>
    <w:rsid w:val="51AB25E2"/>
    <w:rsid w:val="52C77193"/>
    <w:rsid w:val="531A366F"/>
    <w:rsid w:val="53455313"/>
    <w:rsid w:val="53965B3B"/>
    <w:rsid w:val="53B7054A"/>
    <w:rsid w:val="54181E8F"/>
    <w:rsid w:val="5492579E"/>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2662A93"/>
    <w:rsid w:val="635D0E7E"/>
    <w:rsid w:val="63827325"/>
    <w:rsid w:val="639F5962"/>
    <w:rsid w:val="64BC1D3B"/>
    <w:rsid w:val="64E01543"/>
    <w:rsid w:val="65130267"/>
    <w:rsid w:val="65EF46DF"/>
    <w:rsid w:val="68DA1A60"/>
    <w:rsid w:val="6A1D6B70"/>
    <w:rsid w:val="6A903AE2"/>
    <w:rsid w:val="6AF56893"/>
    <w:rsid w:val="6B085BBE"/>
    <w:rsid w:val="6B0C4773"/>
    <w:rsid w:val="6B277F37"/>
    <w:rsid w:val="6B6D0C14"/>
    <w:rsid w:val="6B716B29"/>
    <w:rsid w:val="6C741EF9"/>
    <w:rsid w:val="6D094D94"/>
    <w:rsid w:val="6DC65A80"/>
    <w:rsid w:val="6E380D0C"/>
    <w:rsid w:val="6ED42A0E"/>
    <w:rsid w:val="6EE168B7"/>
    <w:rsid w:val="6F8A7869"/>
    <w:rsid w:val="706F08A3"/>
    <w:rsid w:val="70977707"/>
    <w:rsid w:val="71033854"/>
    <w:rsid w:val="711663FD"/>
    <w:rsid w:val="714D5CAB"/>
    <w:rsid w:val="73951FFE"/>
    <w:rsid w:val="73B96DD6"/>
    <w:rsid w:val="73BA04D5"/>
    <w:rsid w:val="753B3AE9"/>
    <w:rsid w:val="75441483"/>
    <w:rsid w:val="75664791"/>
    <w:rsid w:val="76190D95"/>
    <w:rsid w:val="770478DC"/>
    <w:rsid w:val="773C186D"/>
    <w:rsid w:val="78BC2324"/>
    <w:rsid w:val="78CC6D3B"/>
    <w:rsid w:val="78DC67E8"/>
    <w:rsid w:val="792340C6"/>
    <w:rsid w:val="7AAB15D2"/>
    <w:rsid w:val="7B6706DA"/>
    <w:rsid w:val="7C0F7C94"/>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2"/>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2"/>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10261</Words>
  <Characters>10856</Characters>
  <Lines>243</Lines>
  <Paragraphs>68</Paragraphs>
  <TotalTime>1</TotalTime>
  <ScaleCrop>false</ScaleCrop>
  <LinksUpToDate>false</LinksUpToDate>
  <CharactersWithSpaces>11359</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2025-11-25T00:16:12Z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