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WKZB-2025-028</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鸡血清</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鸡血清</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WKZB-2025-028</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鸡血清</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zh-CN" w:bidi="zh-CN"/>
        </w:rPr>
        <w:t>规模：国药集团扬州威克生物工程有限公司</w:t>
      </w:r>
      <w:r>
        <w:rPr>
          <w:rFonts w:hint="eastAsia" w:ascii="宋体" w:hAnsi="宋体" w:cs="宋体"/>
          <w:color w:val="FF0000"/>
          <w:szCs w:val="21"/>
          <w:highlight w:val="none"/>
          <w:lang w:bidi="zh-CN"/>
        </w:rPr>
        <w:t>拟采购</w:t>
      </w:r>
      <w:r>
        <w:rPr>
          <w:rFonts w:hint="eastAsia" w:ascii="宋体" w:hAnsi="宋体" w:cs="宋体"/>
          <w:color w:val="FF0000"/>
          <w:szCs w:val="21"/>
          <w:highlight w:val="none"/>
          <w:lang w:val="en-US" w:bidi="zh-CN"/>
        </w:rPr>
        <w:t>鸡血清。</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pacing w:val="-5"/>
          <w:szCs w:val="21"/>
          <w:highlight w:val="none"/>
          <w:lang w:val="zh-CN" w:bidi="zh-CN"/>
        </w:rPr>
        <w:t xml:space="preserve">范围：本招标项目划分为 </w:t>
      </w:r>
      <w:r>
        <w:rPr>
          <w:rFonts w:hint="eastAsia" w:ascii="宋体" w:hAnsi="宋体" w:cs="宋体"/>
          <w:color w:val="FF0000"/>
          <w:spacing w:val="-5"/>
          <w:szCs w:val="21"/>
          <w:highlight w:val="none"/>
          <w:lang w:val="en-US" w:bidi="zh-CN"/>
        </w:rPr>
        <w:t>1</w:t>
      </w:r>
      <w:r>
        <w:rPr>
          <w:rFonts w:hint="eastAsia" w:ascii="宋体" w:hAnsi="宋体" w:cs="宋体"/>
          <w:color w:val="FF0000"/>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zh-CN" w:bidi="zh-CN"/>
        </w:rPr>
        <w:t>(001)国药集团扬州威克生物工程有限公司</w:t>
      </w:r>
      <w:r>
        <w:rPr>
          <w:rFonts w:hint="eastAsia" w:ascii="宋体" w:hAnsi="宋体" w:cs="宋体"/>
          <w:color w:val="FF0000"/>
          <w:szCs w:val="21"/>
          <w:highlight w:val="none"/>
          <w:lang w:val="en-US" w:bidi="zh-CN"/>
        </w:rPr>
        <w:t>鸡血清</w:t>
      </w:r>
      <w:r>
        <w:rPr>
          <w:rFonts w:hint="eastAsia" w:ascii="宋体" w:hAnsi="宋体" w:cs="宋体"/>
          <w:color w:val="FF0000"/>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963"/>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鸡血清</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商入围鸡血清项目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FF0000"/>
          <w:szCs w:val="21"/>
          <w:highlight w:val="none"/>
          <w:lang w:bidi="zh-CN"/>
        </w:rPr>
      </w:pP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ascii="宋体" w:hAnsi="宋体" w:cs="宋体"/>
          <w:color w:val="FF0000"/>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5653"/>
      <w:bookmarkStart w:id="36" w:name="_Toc144974495"/>
      <w:bookmarkStart w:id="37" w:name="_Toc390940505"/>
      <w:bookmarkStart w:id="38" w:name="_Toc233102490"/>
      <w:bookmarkStart w:id="39" w:name="_Toc152042303"/>
      <w:bookmarkStart w:id="40" w:name="_Toc152045527"/>
      <w:bookmarkStart w:id="41" w:name="_Toc179632544"/>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09736027"/>
      <w:bookmarkStart w:id="44" w:name="_Toc233102491"/>
      <w:bookmarkStart w:id="45" w:name="_Toc152042304"/>
      <w:bookmarkStart w:id="46" w:name="_Toc152045528"/>
      <w:bookmarkStart w:id="47" w:name="_Toc20399"/>
      <w:bookmarkStart w:id="48" w:name="_Toc390940506"/>
      <w:bookmarkStart w:id="49" w:name="_Toc18804"/>
      <w:bookmarkStart w:id="50" w:name="_Toc144974496"/>
      <w:bookmarkStart w:id="51" w:name="_Toc179632545"/>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bookmarkStart w:id="428" w:name="_GoBack"/>
            <w:bookmarkEnd w:id="428"/>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default"/>
                <w:color w:val="FF0000"/>
                <w:highlight w:val="none"/>
                <w:lang w:val="en-US" w:eastAsia="zh-CN"/>
              </w:rPr>
            </w:pPr>
            <w:r>
              <w:rPr>
                <w:rFonts w:hint="eastAsia"/>
                <w:highlight w:val="none"/>
              </w:rPr>
              <w:t>2、付款方式：</w:t>
            </w:r>
            <w:r>
              <w:rPr>
                <w:rFonts w:hint="eastAsia"/>
                <w:color w:val="FF0000"/>
                <w:highlight w:val="none"/>
                <w:lang w:val="en-US" w:eastAsia="zh-CN"/>
              </w:rPr>
              <w:t>六个月款期，至少接受50%银行承兑汇票</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233102492"/>
      <w:bookmarkStart w:id="56" w:name="_Toc179632546"/>
      <w:bookmarkStart w:id="57" w:name="_Toc152042305"/>
      <w:bookmarkStart w:id="58" w:name="_Toc144974497"/>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2757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205"/>
      <w:bookmarkStart w:id="70" w:name="_Toc30223"/>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216582806"/>
      <w:bookmarkStart w:id="77" w:name="_Toc520356146"/>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Ref467306676"/>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51636702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Toc109736042"/>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23629"/>
      <w:bookmarkStart w:id="119" w:name="_Toc520356159"/>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216582809"/>
      <w:bookmarkStart w:id="129" w:name="_Toc23762"/>
      <w:bookmarkStart w:id="130" w:name="_Toc10973604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Toc520356175"/>
      <w:bookmarkStart w:id="157" w:name="_Ref467307204"/>
      <w:bookmarkStart w:id="158" w:name="_Ref467306377"/>
      <w:bookmarkStart w:id="159" w:name="_Toc109736060"/>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Ref467306425"/>
      <w:bookmarkStart w:id="163" w:name="_Toc520356176"/>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9"/>
      <w:bookmarkStart w:id="172" w:name="_Toc415222497"/>
      <w:bookmarkStart w:id="173" w:name="_Ref467378404"/>
      <w:bookmarkStart w:id="174" w:name="_Ref467379195"/>
      <w:bookmarkStart w:id="175" w:name="_Ref467379094"/>
      <w:bookmarkStart w:id="176" w:name="_Ref467378499"/>
      <w:bookmarkStart w:id="177" w:name="_Toc487900349"/>
      <w:bookmarkStart w:id="178" w:name="_Ref467378463"/>
      <w:bookmarkStart w:id="179" w:name="_Ref467379205"/>
      <w:bookmarkStart w:id="180" w:name="_Ref467379225"/>
      <w:bookmarkStart w:id="181" w:name="_Ref467379214"/>
      <w:bookmarkStart w:id="182" w:name="_Ref467379101"/>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10889"/>
      <w:bookmarkStart w:id="190" w:name="_Toc31740"/>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10492"/>
      <w:bookmarkStart w:id="194" w:name="_Toc415222499"/>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15222500"/>
      <w:bookmarkStart w:id="198" w:name="_Toc4693"/>
      <w:bookmarkStart w:id="199" w:name="_Toc487900352"/>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1323"/>
      <w:bookmarkStart w:id="202" w:name="_Toc415222501"/>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91"/>
      <w:bookmarkStart w:id="205" w:name="_Toc11864"/>
      <w:bookmarkStart w:id="206" w:name="_Toc487900354"/>
      <w:bookmarkStart w:id="207" w:name="_Toc415222502"/>
      <w:bookmarkStart w:id="208" w:name="_Ref467378541"/>
      <w:bookmarkStart w:id="209" w:name="_Toc18715"/>
      <w:bookmarkStart w:id="210" w:name="_Ref467379527"/>
      <w:bookmarkStart w:id="211" w:name="_Ref467379542"/>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6625"/>
      <w:bookmarkStart w:id="216" w:name="_Toc12437"/>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15361"/>
      <w:bookmarkStart w:id="219" w:name="_Toc26337"/>
      <w:bookmarkStart w:id="220" w:name="_Toc487900357"/>
      <w:bookmarkStart w:id="221" w:name="_Ref467379793"/>
      <w:bookmarkStart w:id="222" w:name="_Ref467379807"/>
      <w:bookmarkStart w:id="223" w:name="_Toc415222504"/>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6588"/>
      <w:bookmarkStart w:id="226" w:name="_Ref467379863"/>
      <w:bookmarkStart w:id="227" w:name="_Toc415222505"/>
      <w:bookmarkStart w:id="228" w:name="_Ref467379923"/>
      <w:bookmarkStart w:id="229" w:name="_Toc487900358"/>
      <w:bookmarkStart w:id="230" w:name="_Toc1380"/>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46"/>
      <w:bookmarkStart w:id="232" w:name="_Toc415222506"/>
      <w:bookmarkStart w:id="233" w:name="_Toc15447"/>
      <w:bookmarkStart w:id="234" w:name="_Ref467377962"/>
      <w:bookmarkStart w:id="235" w:name="_Ref467379937"/>
      <w:bookmarkStart w:id="236" w:name="_Toc487900359"/>
      <w:bookmarkStart w:id="237" w:name="_Toc28649"/>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21509"/>
      <w:bookmarkStart w:id="246" w:name="_Toc3172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415222509"/>
      <w:bookmarkStart w:id="251" w:name="_Toc31482"/>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87900363"/>
      <w:bookmarkStart w:id="255" w:name="_Toc3725"/>
      <w:bookmarkStart w:id="256" w:name="_Toc415222510"/>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87900364"/>
      <w:bookmarkStart w:id="259" w:name="_Toc22040"/>
      <w:bookmarkStart w:id="260" w:name="_Toc415222511"/>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487900365"/>
      <w:bookmarkStart w:id="264" w:name="_Toc29320"/>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16231"/>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22065"/>
      <w:bookmarkStart w:id="278" w:name="_Toc487900368"/>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13194"/>
      <w:bookmarkStart w:id="286" w:name="_Toc487900370"/>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87900371"/>
      <w:bookmarkStart w:id="290" w:name="_Toc415222518"/>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487900372"/>
      <w:bookmarkStart w:id="294" w:name="_Toc415222519"/>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15222520"/>
      <w:bookmarkStart w:id="298" w:name="_Toc487900373"/>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415222521"/>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31958"/>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326"/>
      <w:bookmarkStart w:id="315" w:name="_Toc220229431"/>
      <w:bookmarkStart w:id="316" w:name="_Toc15903"/>
      <w:bookmarkStart w:id="317" w:name="_Toc219175636"/>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color w:val="FF0000"/>
          <w:szCs w:val="21"/>
          <w:highlight w:val="none"/>
        </w:rPr>
      </w:pPr>
      <w:r>
        <w:rPr>
          <w:rFonts w:hint="eastAsia" w:ascii="宋体" w:hAnsi="宋体"/>
          <w:szCs w:val="21"/>
          <w:highlight w:val="none"/>
        </w:rPr>
        <w:t>6.1　本合同项下的货物交货方式为：适用合同条款6.1.1 现场交货；</w:t>
      </w:r>
      <w:r>
        <w:rPr>
          <w:rFonts w:hint="eastAsia" w:ascii="宋体" w:hAnsi="宋体" w:cs="宋体"/>
          <w:color w:val="FF0000"/>
          <w:lang w:val="en-US"/>
        </w:rPr>
        <w:t>产品运输过程中需要采用低温冷藏车运输，产品外观无破损。</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5329"/>
      <w:bookmarkStart w:id="339" w:name="_Toc109736069"/>
      <w:bookmarkStart w:id="340" w:name="_Toc216582813"/>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480942350"/>
      <w:bookmarkStart w:id="346" w:name="_Toc415222525"/>
      <w:bookmarkStart w:id="347" w:name="_Toc216582814"/>
      <w:bookmarkStart w:id="348" w:name="_Ref467988705"/>
      <w:bookmarkStart w:id="349" w:name="_Toc520356218"/>
      <w:bookmarkStart w:id="350" w:name="_Toc29788"/>
      <w:bookmarkStart w:id="351" w:name="_Toc10973607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鸡血清</w:t>
      </w:r>
      <w:r>
        <w:rPr>
          <w:rFonts w:hint="eastAsia" w:hAnsi="宋体"/>
          <w:szCs w:val="21"/>
          <w:highlight w:val="none"/>
          <w:u w:val="single"/>
        </w:rPr>
        <w:t xml:space="preserve">                       </w:t>
      </w:r>
      <w:r>
        <w:rPr>
          <w:rFonts w:hAnsi="宋体"/>
          <w:szCs w:val="21"/>
          <w:highlight w:val="none"/>
        </w:rPr>
        <w:t xml:space="preserve">   </w:t>
      </w: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WKZB-2025-028</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3158"/>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60"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/ML</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6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鸡血清</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both"/>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鸡血清</w:t>
      </w:r>
      <w:r>
        <w:rPr>
          <w:rFonts w:hint="eastAsia" w:hAnsi="宋体"/>
          <w:szCs w:val="21"/>
          <w:highlight w:val="none"/>
          <w:u w:val="single"/>
        </w:rPr>
        <w:t xml:space="preserve">                       </w:t>
      </w:r>
      <w:r>
        <w:rPr>
          <w:rFonts w:hAnsi="宋体"/>
          <w:szCs w:val="21"/>
          <w:highlight w:val="none"/>
        </w:rPr>
        <w:t xml:space="preserve">   </w:t>
      </w: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WKZB-2025-028</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1.7</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ascii="宋体" w:hAnsi="宋体" w:cs="宋体"/>
                <w:lang w:val="en-US"/>
              </w:rPr>
              <w:t>产品运输过程中需要采用低温冷藏车运输，产品外观无破损。</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URS5.4</w:t>
            </w:r>
          </w:p>
        </w:tc>
        <w:tc>
          <w:tcPr>
            <w:tcW w:w="2443" w:type="dxa"/>
            <w:noWrap w:val="0"/>
            <w:vAlign w:val="center"/>
          </w:tcPr>
          <w:p>
            <w:pPr>
              <w:spacing w:before="120" w:line="360" w:lineRule="exact"/>
              <w:rPr>
                <w:rFonts w:hint="eastAsia" w:hAnsi="宋体"/>
                <w:szCs w:val="21"/>
                <w:highlight w:val="none"/>
                <w:lang w:val="en-US" w:eastAsia="zh-CN"/>
              </w:rPr>
            </w:pPr>
            <w:r>
              <w:rPr>
                <w:rFonts w:hint="eastAsia" w:hAnsi="宋体"/>
                <w:szCs w:val="21"/>
                <w:highlight w:val="none"/>
                <w:lang w:val="en-US" w:eastAsia="zh-CN"/>
              </w:rPr>
              <w:t>提供免费血清小试样品最少数量为10000ml。3.该批血清在小试结果判定之前，供应商需将该批（批号必须与提供样品的批号保持一致）产品预留至少300000ml，以备供货。</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鸡血清</w:t>
      </w:r>
      <w:r>
        <w:rPr>
          <w:rFonts w:hint="eastAsia" w:hAnsi="宋体"/>
          <w:szCs w:val="21"/>
          <w:highlight w:val="none"/>
          <w:u w:val="single"/>
        </w:rPr>
        <w:t xml:space="preserve">                       </w:t>
      </w:r>
      <w:r>
        <w:rPr>
          <w:rFonts w:hAnsi="宋体"/>
          <w:szCs w:val="21"/>
          <w:highlight w:val="none"/>
        </w:rPr>
        <w:t xml:space="preserve">    </w:t>
      </w:r>
    </w:p>
    <w:p>
      <w:pPr>
        <w:pStyle w:val="20"/>
        <w:rPr>
          <w:rFonts w:hint="eastAsia"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WKZB-2025-028</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对照第六章要求逐条填写，对符合的填写响应，不符合的说明“正偏离”或“负偏离”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Toc480942355"/>
      <w:bookmarkStart w:id="362" w:name="_Ref467988543"/>
      <w:bookmarkStart w:id="363" w:name="_Toc13093"/>
      <w:bookmarkStart w:id="364" w:name="_Toc109736074"/>
      <w:bookmarkStart w:id="365" w:name="_Toc216582819"/>
      <w:bookmarkStart w:id="366"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1212"/>
      <w:bookmarkEnd w:id="369"/>
      <w:bookmarkStart w:id="370" w:name="_Hlt520273973"/>
      <w:bookmarkEnd w:id="370"/>
      <w:bookmarkStart w:id="371" w:name="_Hlt520274065"/>
      <w:bookmarkEnd w:id="371"/>
      <w:bookmarkStart w:id="372" w:name="_Hlt520274407"/>
      <w:bookmarkEnd w:id="372"/>
      <w:bookmarkStart w:id="373" w:name="_Hlt520274393"/>
      <w:bookmarkEnd w:id="373"/>
      <w:bookmarkStart w:id="374" w:name="_Hlt520273711"/>
      <w:bookmarkEnd w:id="374"/>
      <w:bookmarkStart w:id="375" w:name="_Hlt520343392"/>
      <w:bookmarkEnd w:id="375"/>
      <w:bookmarkStart w:id="376" w:name="_Hlt520274121"/>
      <w:bookmarkEnd w:id="376"/>
      <w:bookmarkStart w:id="377" w:name="_Hlt520343000"/>
      <w:bookmarkEnd w:id="377"/>
      <w:bookmarkStart w:id="378" w:name="_Hlt520350957"/>
      <w:bookmarkEnd w:id="378"/>
      <w:bookmarkStart w:id="379" w:name="_Hlt520350918"/>
      <w:bookmarkEnd w:id="379"/>
      <w:bookmarkStart w:id="380" w:name="_Toc2581"/>
      <w:bookmarkStart w:id="381" w:name="_Ref467988479"/>
      <w:bookmarkStart w:id="382" w:name="_Ref467988471"/>
      <w:bookmarkStart w:id="383" w:name="_Toc520356228"/>
      <w:bookmarkStart w:id="384" w:name="_Toc520356229"/>
      <w:bookmarkStart w:id="385" w:name="_Ref467990101"/>
      <w:bookmarkStart w:id="386" w:name="_Toc520125061"/>
      <w:bookmarkStart w:id="387" w:name="_Ref467988485"/>
      <w:bookmarkStart w:id="388" w:name="_Toc520125062"/>
      <w:bookmarkStart w:id="389" w:name="_Ref467990058"/>
      <w:bookmarkStart w:id="390" w:name="_Ref467990064"/>
      <w:bookmarkStart w:id="391" w:name="_Toc480942358"/>
      <w:bookmarkStart w:id="392" w:name="_Ref467990100"/>
      <w:bookmarkStart w:id="393" w:name="_Toc480942357"/>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2"/>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鸡血清</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WKZB-2025-028</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20229434"/>
      <w:bookmarkStart w:id="407" w:name="_Toc218935355"/>
      <w:bookmarkStart w:id="408" w:name="_Toc216582826"/>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561"/>
      <w:bookmarkStart w:id="416" w:name="_Toc18725"/>
      <w:bookmarkStart w:id="417" w:name="_Toc188181412"/>
      <w:bookmarkStart w:id="418" w:name="_Toc61418267"/>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20" w:beforeLines="50"/>
        <w:ind w:firstLine="400" w:firstLineChars="200"/>
        <w:jc w:val="left"/>
        <w:rPr>
          <w:rFonts w:hint="eastAsia" w:ascii="宋体" w:hAnsi="宋体" w:eastAsia="宋体" w:cs="Times New Roman"/>
          <w:kern w:val="0"/>
          <w:sz w:val="20"/>
          <w:szCs w:val="20"/>
          <w:lang w:val="fr-FR"/>
        </w:rPr>
      </w:pPr>
      <w:bookmarkStart w:id="419" w:name="_Hlk528847756"/>
      <w:bookmarkStart w:id="420"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eastAsia="zh-CN"/>
        </w:rPr>
        <w:t>灭活苗抗原生产用鸡</w:t>
      </w:r>
      <w:r>
        <w:rPr>
          <w:rFonts w:hint="eastAsia" w:ascii="宋体" w:hAnsi="宋体" w:eastAsia="宋体" w:cs="Times New Roman"/>
          <w:kern w:val="0"/>
          <w:sz w:val="20"/>
          <w:szCs w:val="20"/>
          <w:lang w:val="en-US"/>
        </w:rPr>
        <w:t>血清</w:t>
      </w:r>
      <w:r>
        <w:rPr>
          <w:rFonts w:ascii="宋体" w:hAnsi="宋体" w:eastAsia="宋体" w:cs="Times New Roman"/>
          <w:kern w:val="0"/>
          <w:sz w:val="20"/>
          <w:szCs w:val="20"/>
          <w:lang w:val="fr-FR"/>
        </w:rPr>
        <w:t>需要。包括</w:t>
      </w:r>
      <w:r>
        <w:rPr>
          <w:rFonts w:hint="eastAsia" w:ascii="宋体" w:hAnsi="宋体" w:eastAsia="宋体" w:cs="Times New Roman"/>
          <w:kern w:val="0"/>
          <w:sz w:val="20"/>
          <w:szCs w:val="20"/>
          <w:lang w:val="en-US" w:eastAsia="zh-CN"/>
        </w:rPr>
        <w:t>产品</w:t>
      </w:r>
      <w:r>
        <w:rPr>
          <w:rFonts w:hint="eastAsia" w:ascii="宋体" w:hAnsi="宋体" w:eastAsia="宋体" w:cs="Times New Roman"/>
          <w:kern w:val="0"/>
          <w:sz w:val="20"/>
          <w:szCs w:val="20"/>
          <w:lang w:val="en-US"/>
        </w:rPr>
        <w:t>性状</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无菌检测</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支原体检测</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外源病毒检验</w:t>
      </w:r>
      <w:r>
        <w:rPr>
          <w:rFonts w:ascii="宋体" w:hAnsi="宋体" w:eastAsia="宋体" w:cs="Times New Roman"/>
          <w:kern w:val="0"/>
          <w:sz w:val="20"/>
          <w:szCs w:val="20"/>
          <w:lang w:val="fr-FR"/>
        </w:rPr>
        <w:t>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1" w:name="_Toc716"/>
      <w:r>
        <w:rPr>
          <w:rFonts w:hint="eastAsia" w:ascii="宋体" w:hAnsi="宋体" w:eastAsia="宋体" w:cs="Times New Roman"/>
          <w:b/>
          <w:caps/>
          <w:kern w:val="28"/>
          <w:sz w:val="30"/>
          <w:szCs w:val="30"/>
          <w:lang w:val="en-US" w:eastAsia="zh-CN" w:bidi="ar-SA"/>
        </w:rPr>
        <w:t>范围</w:t>
      </w:r>
      <w:bookmarkEnd w:id="420"/>
      <w:bookmarkEnd w:id="421"/>
    </w:p>
    <w:p>
      <w:pPr>
        <w:keepNext/>
        <w:widowControl/>
        <w:spacing w:before="240" w:after="60"/>
        <w:jc w:val="left"/>
        <w:outlineLvl w:val="0"/>
        <w:rPr>
          <w:rFonts w:hint="eastAsia" w:ascii="宋体" w:hAnsi="宋体" w:eastAsia="宋体" w:cs="Times New Roman"/>
          <w:kern w:val="0"/>
          <w:sz w:val="20"/>
          <w:szCs w:val="20"/>
          <w:highlight w:val="yellow"/>
          <w:lang w:val="fr-FR"/>
        </w:rPr>
      </w:pPr>
      <w:bookmarkStart w:id="422" w:name="_Hlk528847449"/>
      <w:r>
        <w:rPr>
          <w:rFonts w:hint="eastAsia" w:ascii="宋体" w:hAnsi="宋体" w:eastAsia="宋体" w:cs="Times New Roman"/>
          <w:kern w:val="0"/>
          <w:sz w:val="20"/>
          <w:szCs w:val="20"/>
          <w:lang w:val="en-US"/>
        </w:rPr>
        <w:t>用于规定</w:t>
      </w:r>
      <w:r>
        <w:rPr>
          <w:rFonts w:hint="eastAsia" w:ascii="宋体" w:hAnsi="宋体" w:eastAsia="宋体" w:cs="Times New Roman"/>
          <w:kern w:val="0"/>
          <w:sz w:val="20"/>
          <w:szCs w:val="20"/>
          <w:lang w:val="en-US" w:eastAsia="zh-CN"/>
        </w:rPr>
        <w:t>鸡</w:t>
      </w:r>
      <w:r>
        <w:rPr>
          <w:rFonts w:hint="eastAsia" w:ascii="宋体" w:hAnsi="宋体" w:eastAsia="宋体" w:cs="Times New Roman"/>
          <w:kern w:val="0"/>
          <w:sz w:val="20"/>
          <w:szCs w:val="20"/>
          <w:lang w:val="en-US"/>
        </w:rPr>
        <w:t>血清的质量</w:t>
      </w:r>
      <w:r>
        <w:rPr>
          <w:rFonts w:hint="eastAsia" w:ascii="宋体" w:hAnsi="宋体" w:eastAsia="宋体" w:cs="Times New Roman"/>
          <w:kern w:val="0"/>
          <w:sz w:val="20"/>
          <w:szCs w:val="20"/>
          <w:lang w:val="en-US" w:eastAsia="zh-CN"/>
        </w:rPr>
        <w:t>要求</w:t>
      </w:r>
      <w:r>
        <w:rPr>
          <w:rFonts w:hint="eastAsia" w:ascii="宋体" w:hAnsi="宋体" w:eastAsia="宋体" w:cs="Times New Roman"/>
          <w:kern w:val="0"/>
          <w:sz w:val="20"/>
          <w:szCs w:val="20"/>
          <w:lang w:val="fr-FR"/>
        </w:rPr>
        <w:t>。</w:t>
      </w:r>
    </w:p>
    <w:bookmarkEnd w:id="422"/>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3" w:name="_Toc26852"/>
      <w:bookmarkStart w:id="424" w:name="_Toc16805"/>
      <w:r>
        <w:rPr>
          <w:rFonts w:hint="eastAsia" w:ascii="宋体" w:hAnsi="宋体" w:eastAsia="宋体" w:cs="Times New Roman"/>
          <w:b/>
          <w:caps/>
          <w:kern w:val="28"/>
          <w:sz w:val="30"/>
          <w:szCs w:val="30"/>
          <w:lang w:val="fr-FR" w:eastAsia="zh-CN" w:bidi="ar-SA"/>
        </w:rPr>
        <w:t>定义和缩略语</w:t>
      </w:r>
      <w:bookmarkEnd w:id="423"/>
      <w:bookmarkEnd w:id="424"/>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2093" w:type="dxa"/>
            <w:shd w:val="clear" w:color="auto" w:fill="D9D9D9"/>
            <w:noWrap w:val="0"/>
            <w:vAlign w:val="center"/>
          </w:tcPr>
          <w:p>
            <w:pPr>
              <w:widowControl/>
              <w:ind w:firstLine="160" w:firstLineChars="67"/>
              <w:jc w:val="center"/>
              <w:rPr>
                <w:rFonts w:ascii="宋体" w:hAnsi="宋体" w:eastAsia="宋体" w:cs="Times New Roman"/>
                <w:kern w:val="0"/>
                <w:sz w:val="24"/>
                <w:szCs w:val="24"/>
                <w:lang w:val="fr-FR"/>
              </w:rPr>
            </w:pPr>
            <w:bookmarkStart w:id="425"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425"/>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6" w:name="_Toc20878"/>
      <w:bookmarkStart w:id="427" w:name="_Toc14542"/>
      <w:r>
        <w:rPr>
          <w:rFonts w:hint="eastAsia" w:ascii="宋体" w:hAnsi="宋体" w:eastAsia="宋体" w:cs="Times New Roman"/>
          <w:b/>
          <w:caps/>
          <w:color w:val="000000"/>
          <w:kern w:val="28"/>
          <w:sz w:val="30"/>
          <w:szCs w:val="30"/>
          <w:lang w:val="en-US" w:eastAsia="zh-CN" w:bidi="ar-SA"/>
        </w:rPr>
        <w:t>技术规格</w:t>
      </w:r>
      <w:bookmarkEnd w:id="426"/>
      <w:bookmarkEnd w:id="427"/>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w:t>
      </w:r>
      <w:r>
        <w:rPr>
          <w:rFonts w:hint="eastAsia" w:ascii="宋体" w:hAnsi="宋体" w:eastAsia="宋体" w:cs="Times New Roman"/>
          <w:color w:val="000000"/>
          <w:kern w:val="0"/>
          <w:sz w:val="20"/>
          <w:szCs w:val="20"/>
          <w:lang w:val="en-US" w:eastAsia="zh-CN"/>
        </w:rPr>
        <w:t>规定</w:t>
      </w:r>
      <w:r>
        <w:rPr>
          <w:rFonts w:hint="eastAsia" w:ascii="宋体" w:hAnsi="宋体" w:eastAsia="宋体" w:cs="Times New Roman"/>
          <w:color w:val="000000"/>
          <w:kern w:val="0"/>
          <w:sz w:val="20"/>
          <w:szCs w:val="20"/>
          <w:lang w:val="en-US"/>
        </w:rPr>
        <w:t>、规程、规范和强制性标准要求。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rPr>
        <w:t>标准依据</w:t>
      </w:r>
      <w:r>
        <w:rPr>
          <w:rFonts w:hint="eastAsia" w:ascii="宋体" w:hAnsi="宋体" w:eastAsia="宋体" w:cs="Times New Roman"/>
          <w:color w:val="000000"/>
          <w:kern w:val="0"/>
          <w:sz w:val="20"/>
          <w:szCs w:val="20"/>
          <w:lang w:val="en-US" w:eastAsia="zh-CN"/>
        </w:rPr>
        <w:t>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Times New Roman"/>
          <w:color w:val="000000"/>
          <w:kern w:val="0"/>
          <w:sz w:val="20"/>
          <w:szCs w:val="20"/>
          <w:lang w:val="en-US"/>
        </w:rPr>
        <w:t>附录</w:t>
      </w:r>
      <w:r>
        <w:rPr>
          <w:rFonts w:hint="eastAsia" w:ascii="宋体" w:hAnsi="宋体" w:eastAsia="宋体" w:cs="Times New Roman"/>
          <w:color w:val="000000"/>
          <w:kern w:val="0"/>
          <w:sz w:val="20"/>
          <w:szCs w:val="20"/>
          <w:lang w:val="en-US" w:eastAsia="zh-CN"/>
        </w:rPr>
        <w:t>检验。</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 xml:space="preserve">性状  </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澄清稍黏稠的</w:t>
      </w:r>
      <w:r>
        <w:rPr>
          <w:rFonts w:hint="eastAsia" w:ascii="Times New Roman" w:hAnsi="Times New Roman" w:eastAsia="宋体" w:cs="Times New Roman"/>
          <w:kern w:val="0"/>
          <w:sz w:val="20"/>
          <w:szCs w:val="20"/>
          <w:lang w:val="en-US" w:eastAsia="zh-CN"/>
        </w:rPr>
        <w:t>浅黄色</w:t>
      </w:r>
      <w:r>
        <w:rPr>
          <w:rFonts w:hint="eastAsia" w:ascii="Times New Roman" w:hAnsi="Times New Roman" w:eastAsia="宋体" w:cs="Times New Roman"/>
          <w:kern w:val="0"/>
          <w:sz w:val="20"/>
          <w:szCs w:val="20"/>
          <w:lang w:val="fr-FR"/>
        </w:rPr>
        <w:t>液体。</w:t>
      </w:r>
    </w:p>
    <w:p>
      <w:pPr>
        <w:widowControl/>
        <w:numPr>
          <w:ilvl w:val="0"/>
          <w:numId w:val="16"/>
        </w:numPr>
        <w:ind w:left="425" w:leftChars="0" w:hanging="425" w:firstLineChars="0"/>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无异物。</w:t>
      </w:r>
    </w:p>
    <w:p>
      <w:pPr>
        <w:widowControl/>
        <w:numPr>
          <w:ilvl w:val="0"/>
          <w:numId w:val="16"/>
        </w:numPr>
        <w:ind w:left="425" w:leftChars="0" w:hanging="425" w:firstLineChars="0"/>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冻融后可能存在少量的絮状沉淀</w:t>
      </w:r>
      <w:r>
        <w:rPr>
          <w:rFonts w:hint="eastAsia" w:ascii="宋体" w:hAnsi="宋体" w:eastAsia="宋体" w:cs="宋体"/>
          <w:kern w:val="0"/>
          <w:sz w:val="20"/>
          <w:szCs w:val="20"/>
          <w:lang w:val="fr-FR"/>
        </w:rPr>
        <w:t>。</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 xml:space="preserve">无菌检验  </w:t>
      </w:r>
    </w:p>
    <w:p>
      <w:pPr>
        <w:widowControl/>
        <w:jc w:val="left"/>
        <w:rPr>
          <w:rFonts w:hint="eastAsia" w:ascii="宋体" w:hAnsi="宋体" w:eastAsia="宋体" w:cs="宋体"/>
          <w:kern w:val="0"/>
          <w:sz w:val="20"/>
          <w:szCs w:val="20"/>
          <w:lang w:val="fr-FR"/>
        </w:rPr>
      </w:pPr>
      <w:r>
        <w:rPr>
          <w:rFonts w:hint="eastAsia" w:ascii="宋体" w:hAnsi="宋体" w:eastAsia="宋体" w:cs="宋体"/>
          <w:kern w:val="0"/>
          <w:sz w:val="20"/>
          <w:szCs w:val="20"/>
          <w:lang w:val="fr-FR"/>
        </w:rPr>
        <w:t>按现行《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宋体"/>
          <w:kern w:val="0"/>
          <w:sz w:val="20"/>
          <w:szCs w:val="20"/>
          <w:lang w:val="fr-FR"/>
        </w:rPr>
        <w:t>》</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Times New Roman"/>
          <w:color w:val="000000"/>
          <w:kern w:val="0"/>
          <w:sz w:val="20"/>
          <w:szCs w:val="20"/>
          <w:lang w:val="en-US"/>
        </w:rPr>
        <w:t>附录</w:t>
      </w:r>
      <w:r>
        <w:rPr>
          <w:rFonts w:hint="eastAsia" w:ascii="宋体" w:hAnsi="宋体" w:eastAsia="宋体" w:cs="宋体"/>
          <w:kern w:val="0"/>
          <w:sz w:val="20"/>
          <w:szCs w:val="20"/>
          <w:lang w:val="fr-FR"/>
        </w:rPr>
        <w:t>进行检验，应无菌生长。</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 xml:space="preserve">支原体检验  </w:t>
      </w:r>
    </w:p>
    <w:p>
      <w:pPr>
        <w:widowControl/>
        <w:jc w:val="left"/>
        <w:rPr>
          <w:rFonts w:hint="eastAsia" w:ascii="宋体" w:hAnsi="宋体" w:eastAsia="宋体" w:cs="宋体"/>
          <w:kern w:val="0"/>
          <w:sz w:val="20"/>
          <w:szCs w:val="20"/>
          <w:lang w:val="fr-FR"/>
        </w:rPr>
      </w:pPr>
      <w:r>
        <w:rPr>
          <w:rFonts w:hint="eastAsia" w:ascii="宋体" w:hAnsi="宋体" w:eastAsia="宋体" w:cs="宋体"/>
          <w:kern w:val="0"/>
          <w:sz w:val="20"/>
          <w:szCs w:val="20"/>
          <w:lang w:val="fr-FR"/>
        </w:rPr>
        <w:t>按现行《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宋体"/>
          <w:kern w:val="0"/>
          <w:sz w:val="20"/>
          <w:szCs w:val="20"/>
          <w:lang w:val="fr-FR"/>
        </w:rPr>
        <w:t>》</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Times New Roman"/>
          <w:color w:val="000000"/>
          <w:kern w:val="0"/>
          <w:sz w:val="20"/>
          <w:szCs w:val="20"/>
          <w:lang w:val="en-US"/>
        </w:rPr>
        <w:t>附录</w:t>
      </w:r>
      <w:r>
        <w:rPr>
          <w:rFonts w:hint="eastAsia" w:ascii="宋体" w:hAnsi="宋体" w:eastAsia="宋体" w:cs="宋体"/>
          <w:kern w:val="0"/>
          <w:sz w:val="20"/>
          <w:szCs w:val="20"/>
          <w:lang w:val="fr-FR"/>
        </w:rPr>
        <w:t>进行检验，应无支原体生长。</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外源病毒检验</w:t>
      </w:r>
      <w:r>
        <w:rPr>
          <w:rFonts w:hint="eastAsia" w:ascii="Times New Roman" w:hAnsi="Times New Roman" w:eastAsia="宋体" w:cs="Times New Roman"/>
          <w:i/>
          <w:sz w:val="24"/>
          <w:lang w:val="en-US" w:eastAsia="zh-CN" w:bidi="ar-SA"/>
        </w:rPr>
        <w:t xml:space="preserve"> </w:t>
      </w:r>
    </w:p>
    <w:p>
      <w:pPr>
        <w:widowControl/>
        <w:jc w:val="left"/>
        <w:rPr>
          <w:rFonts w:hint="eastAsia" w:ascii="宋体" w:hAnsi="宋体" w:eastAsia="宋体" w:cs="宋体"/>
          <w:kern w:val="0"/>
          <w:sz w:val="20"/>
          <w:szCs w:val="20"/>
          <w:lang w:val="fr-FR"/>
        </w:rPr>
      </w:pPr>
      <w:r>
        <w:rPr>
          <w:rFonts w:hint="eastAsia" w:ascii="宋体" w:hAnsi="宋体" w:eastAsia="宋体" w:cs="宋体"/>
          <w:kern w:val="0"/>
          <w:sz w:val="20"/>
          <w:szCs w:val="20"/>
          <w:lang w:val="en-US" w:eastAsia="zh-CN"/>
        </w:rPr>
        <w:t>按现行《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宋体"/>
          <w:kern w:val="0"/>
          <w:sz w:val="20"/>
          <w:szCs w:val="20"/>
          <w:lang w:val="en-US" w:eastAsia="zh-CN"/>
        </w:rPr>
        <w:t>》</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宋体"/>
          <w:kern w:val="0"/>
          <w:sz w:val="20"/>
          <w:szCs w:val="20"/>
          <w:lang w:val="en-US" w:eastAsia="zh-CN"/>
        </w:rPr>
        <w:t>附录进行检验，应无外源病毒污染</w:t>
      </w:r>
      <w:r>
        <w:rPr>
          <w:rFonts w:hint="eastAsia" w:ascii="宋体" w:hAnsi="宋体" w:eastAsia="宋体" w:cs="宋体"/>
          <w:kern w:val="0"/>
          <w:sz w:val="20"/>
          <w:szCs w:val="20"/>
          <w:lang w:val="fr-FR"/>
        </w:rPr>
        <w:t>。</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 xml:space="preserve">细菌内毒素测定 </w:t>
      </w:r>
    </w:p>
    <w:p>
      <w:pPr>
        <w:widowControl/>
        <w:numPr>
          <w:ilvl w:val="0"/>
          <w:numId w:val="0"/>
        </w:numPr>
        <w:jc w:val="left"/>
        <w:rPr>
          <w:rFonts w:hint="eastAsia" w:ascii="宋体" w:hAnsi="宋体" w:eastAsia="宋体" w:cs="宋体"/>
          <w:kern w:val="0"/>
          <w:sz w:val="20"/>
          <w:szCs w:val="20"/>
          <w:lang w:val="fr-FR" w:eastAsia="zh-CN"/>
        </w:rPr>
      </w:pPr>
      <w:r>
        <w:rPr>
          <w:rFonts w:hint="eastAsia" w:ascii="宋体" w:hAnsi="宋体" w:eastAsia="宋体" w:cs="宋体"/>
          <w:kern w:val="0"/>
          <w:sz w:val="20"/>
          <w:szCs w:val="20"/>
          <w:lang w:val="fr-FR"/>
        </w:rPr>
        <w:t>按《</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宋体"/>
          <w:kern w:val="0"/>
          <w:sz w:val="20"/>
          <w:szCs w:val="20"/>
          <w:lang w:val="fr-FR"/>
        </w:rPr>
        <w:t>》2020版一部附录进行检验，每毫升血清的内毒素含量应低于1</w:t>
      </w: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lang w:val="fr-FR"/>
        </w:rPr>
        <w:t>EU</w:t>
      </w:r>
      <w:r>
        <w:rPr>
          <w:rFonts w:hint="eastAsia" w:ascii="宋体" w:hAnsi="宋体" w:eastAsia="宋体" w:cs="宋体"/>
          <w:kern w:val="0"/>
          <w:sz w:val="20"/>
          <w:szCs w:val="20"/>
          <w:lang w:val="fr-FR" w:eastAsia="zh-CN"/>
        </w:rPr>
        <w:t>。</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 xml:space="preserve">血红蛋白检测  </w:t>
      </w:r>
    </w:p>
    <w:p>
      <w:pPr>
        <w:widowControl/>
        <w:jc w:val="left"/>
        <w:rPr>
          <w:rFonts w:hint="eastAsia" w:ascii="宋体" w:hAnsi="宋体" w:eastAsia="宋体" w:cs="宋体"/>
          <w:kern w:val="0"/>
          <w:sz w:val="20"/>
          <w:szCs w:val="20"/>
          <w:lang w:val="fr-FR"/>
        </w:rPr>
      </w:pPr>
      <w:r>
        <w:rPr>
          <w:rFonts w:hint="eastAsia" w:ascii="宋体" w:hAnsi="宋体" w:eastAsia="宋体" w:cs="宋体"/>
          <w:kern w:val="0"/>
          <w:sz w:val="20"/>
          <w:szCs w:val="20"/>
          <w:lang w:val="en-US" w:eastAsia="zh-CN"/>
        </w:rPr>
        <w:t>用分光光度法测定，</w:t>
      </w:r>
      <w:r>
        <w:rPr>
          <w:rFonts w:hint="eastAsia" w:ascii="宋体" w:hAnsi="宋体" w:eastAsia="宋体" w:cs="宋体"/>
          <w:kern w:val="0"/>
          <w:sz w:val="20"/>
          <w:szCs w:val="20"/>
          <w:lang w:val="en-US"/>
        </w:rPr>
        <w:t>应不高于</w:t>
      </w:r>
      <w:r>
        <w:rPr>
          <w:rFonts w:hint="eastAsia" w:ascii="宋体" w:hAnsi="宋体" w:eastAsia="宋体" w:cs="宋体"/>
          <w:kern w:val="0"/>
          <w:sz w:val="20"/>
          <w:szCs w:val="20"/>
          <w:lang w:val="en-US" w:eastAsia="zh-CN"/>
        </w:rPr>
        <w:t>5</w:t>
      </w:r>
      <w:r>
        <w:rPr>
          <w:rFonts w:hint="eastAsia" w:ascii="宋体" w:hAnsi="宋体" w:eastAsia="宋体" w:cs="宋体"/>
          <w:kern w:val="0"/>
          <w:sz w:val="20"/>
          <w:szCs w:val="20"/>
          <w:lang w:val="en-US"/>
        </w:rPr>
        <w:t>00mg/L。</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 xml:space="preserve">蛋白质含量检测  </w:t>
      </w:r>
    </w:p>
    <w:p>
      <w:pPr>
        <w:widowControl/>
        <w:jc w:val="left"/>
        <w:rPr>
          <w:rFonts w:hint="eastAsia" w:ascii="宋体" w:hAnsi="宋体" w:eastAsia="宋体" w:cs="宋体"/>
          <w:kern w:val="0"/>
          <w:sz w:val="20"/>
          <w:szCs w:val="20"/>
          <w:lang w:val="fr-FR"/>
        </w:rPr>
      </w:pPr>
      <w:r>
        <w:rPr>
          <w:rFonts w:hint="eastAsia" w:ascii="宋体" w:hAnsi="宋体" w:eastAsia="宋体" w:cs="宋体"/>
          <w:kern w:val="0"/>
          <w:sz w:val="20"/>
          <w:szCs w:val="20"/>
          <w:lang w:val="en-US" w:eastAsia="zh-CN"/>
        </w:rPr>
        <w:t>采用双缩脲法检测，应为20g/L-70g/L</w:t>
      </w:r>
      <w:r>
        <w:rPr>
          <w:rFonts w:hint="eastAsia" w:ascii="宋体" w:hAnsi="宋体" w:eastAsia="宋体" w:cs="宋体"/>
          <w:kern w:val="0"/>
          <w:sz w:val="20"/>
          <w:szCs w:val="20"/>
          <w:lang w:val="en-US"/>
        </w:rPr>
        <w:t>。</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非洲猪瘟病毒核酸检测</w:t>
      </w:r>
      <w:r>
        <w:rPr>
          <w:rFonts w:hint="eastAsia" w:ascii="Times New Roman" w:hAnsi="Times New Roman" w:eastAsia="宋体" w:cs="Times New Roman"/>
          <w:i/>
          <w:sz w:val="24"/>
          <w:lang w:val="en-US" w:eastAsia="zh-CN" w:bidi="ar-SA"/>
        </w:rPr>
        <w:tab/>
      </w:r>
    </w:p>
    <w:p>
      <w:pPr>
        <w:widowControl/>
        <w:spacing w:line="360" w:lineRule="auto"/>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采用酶联免疫法检测或PCR法检测，非洲猪瘟病毒核酸应为阴性</w:t>
      </w:r>
      <w:r>
        <w:rPr>
          <w:rFonts w:hint="eastAsia" w:ascii="宋体" w:hAnsi="宋体" w:eastAsia="宋体" w:cs="宋体"/>
          <w:kern w:val="0"/>
          <w:sz w:val="20"/>
          <w:szCs w:val="20"/>
          <w:lang w:val="en-US"/>
        </w:rPr>
        <w:t>。</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增殖稳定性试验</w:t>
      </w:r>
    </w:p>
    <w:p>
      <w:pPr>
        <w:widowControl/>
        <w:numPr>
          <w:ilvl w:val="0"/>
          <w:numId w:val="17"/>
        </w:numPr>
        <w:spacing w:line="360" w:lineRule="auto"/>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在37℃摇床培养箱培养LMH悬浮细胞，24小时最少增殖1倍，培养48小时，细胞增殖不低于2倍细胞数，无浑浊现象。</w:t>
      </w:r>
    </w:p>
    <w:p>
      <w:pPr>
        <w:widowControl/>
        <w:numPr>
          <w:ilvl w:val="0"/>
          <w:numId w:val="17"/>
        </w:numPr>
        <w:spacing w:line="360" w:lineRule="auto"/>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禽支原体增殖正常。</w:t>
      </w:r>
    </w:p>
    <w:p>
      <w:pPr>
        <w:widowControl/>
        <w:spacing w:line="360" w:lineRule="auto"/>
        <w:jc w:val="left"/>
        <w:rPr>
          <w:rFonts w:hint="eastAsia" w:ascii="宋体" w:hAnsi="宋体" w:eastAsia="宋体" w:cs="宋体"/>
          <w:kern w:val="0"/>
          <w:sz w:val="20"/>
          <w:szCs w:val="20"/>
          <w:lang w:val="en-US" w:eastAsia="zh-CN"/>
        </w:rPr>
      </w:pPr>
    </w:p>
    <w:p>
      <w:pPr>
        <w:widowControl/>
        <w:spacing w:line="360" w:lineRule="auto"/>
        <w:jc w:val="left"/>
        <w:rPr>
          <w:rFonts w:hint="eastAsia" w:ascii="宋体" w:hAnsi="宋体" w:eastAsia="宋体" w:cs="宋体"/>
          <w:kern w:val="0"/>
          <w:sz w:val="20"/>
          <w:szCs w:val="20"/>
          <w:lang w:val="en-US" w:eastAsia="zh-CN"/>
        </w:rPr>
      </w:pPr>
    </w:p>
    <w:p>
      <w:pPr>
        <w:keepNext/>
        <w:numPr>
          <w:ilvl w:val="0"/>
          <w:numId w:val="15"/>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p>
      <w:pPr>
        <w:widowControl/>
        <w:numPr>
          <w:ilvl w:val="0"/>
          <w:numId w:val="18"/>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提供血清小试样品最少数量为10000ml。</w:t>
      </w:r>
    </w:p>
    <w:p>
      <w:pPr>
        <w:widowControl/>
        <w:numPr>
          <w:ilvl w:val="0"/>
          <w:numId w:val="18"/>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血清需要连续细胞传代3次试验，根据小试报告确定后续是否继续使用</w:t>
      </w:r>
      <w:r>
        <w:rPr>
          <w:rFonts w:hint="eastAsia" w:ascii="宋体" w:hAnsi="宋体" w:eastAsia="宋体" w:cs="宋体"/>
          <w:kern w:val="0"/>
          <w:sz w:val="20"/>
          <w:szCs w:val="20"/>
          <w:lang w:val="en-US" w:eastAsia="zh-CN"/>
        </w:rPr>
        <w:t>。</w:t>
      </w:r>
    </w:p>
    <w:p>
      <w:pPr>
        <w:widowControl/>
        <w:numPr>
          <w:ilvl w:val="0"/>
          <w:numId w:val="18"/>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该批血清在小试结果判定之前，供应商需将该批（批号必须与提供样品的批号保持一致）产品预留至少</w:t>
      </w:r>
      <w:r>
        <w:rPr>
          <w:rFonts w:hint="eastAsia" w:ascii="宋体" w:hAnsi="宋体" w:eastAsia="宋体" w:cs="宋体"/>
          <w:kern w:val="0"/>
          <w:sz w:val="20"/>
          <w:szCs w:val="20"/>
          <w:lang w:val="en-US" w:eastAsia="zh-CN"/>
        </w:rPr>
        <w:t>300000</w:t>
      </w:r>
      <w:r>
        <w:rPr>
          <w:rFonts w:hint="eastAsia" w:ascii="宋体" w:hAnsi="宋体" w:eastAsia="宋体" w:cs="宋体"/>
          <w:kern w:val="0"/>
          <w:sz w:val="20"/>
          <w:szCs w:val="20"/>
          <w:lang w:val="en-US"/>
        </w:rPr>
        <w:t>ml，以备供货。</w:t>
      </w:r>
    </w:p>
    <w:p>
      <w:pPr>
        <w:widowControl/>
        <w:numPr>
          <w:ilvl w:val="0"/>
          <w:numId w:val="18"/>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产品运输过程中需要采用低温冷藏车运输，产品外观无破损。</w:t>
      </w:r>
    </w:p>
    <w:p>
      <w:pPr>
        <w:widowControl/>
        <w:numPr>
          <w:ilvl w:val="0"/>
          <w:numId w:val="18"/>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按批次提供相应的合格检测报告。</w:t>
      </w:r>
    </w:p>
    <w:p>
      <w:pPr>
        <w:bidi w:val="0"/>
        <w:rPr>
          <w:rFonts w:hint="eastAsia" w:ascii="Times New Roman" w:hAnsi="Times New Roman" w:eastAsia="宋体" w:cs="Times New Roman"/>
          <w:kern w:val="2"/>
          <w:sz w:val="21"/>
          <w:szCs w:val="24"/>
          <w:lang w:val="en-US" w:eastAsia="zh-CN" w:bidi="ar-SA"/>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04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061A2A4"/>
    <w:multiLevelType w:val="singleLevel"/>
    <w:tmpl w:val="5061A2A4"/>
    <w:lvl w:ilvl="0" w:tentative="0">
      <w:start w:val="1"/>
      <w:numFmt w:val="decimal"/>
      <w:lvlText w:val="%1."/>
      <w:lvlJc w:val="left"/>
      <w:pPr>
        <w:tabs>
          <w:tab w:val="left" w:pos="312"/>
        </w:tabs>
      </w:pPr>
    </w:lvl>
  </w:abstractNum>
  <w:abstractNum w:abstractNumId="12">
    <w:nsid w:val="55A496DA"/>
    <w:multiLevelType w:val="singleLevel"/>
    <w:tmpl w:val="55A496DA"/>
    <w:lvl w:ilvl="0" w:tentative="0">
      <w:start w:val="1"/>
      <w:numFmt w:val="decimal"/>
      <w:lvlText w:val="%1."/>
      <w:lvlJc w:val="left"/>
      <w:pPr>
        <w:ind w:left="425" w:hanging="425"/>
      </w:pPr>
      <w:rPr>
        <w:rFonts w:hint="default"/>
      </w:rPr>
    </w:lvl>
  </w:abstractNum>
  <w:abstractNum w:abstractNumId="13">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4">
    <w:nsid w:val="62DA00DE"/>
    <w:multiLevelType w:val="singleLevel"/>
    <w:tmpl w:val="62DA00DE"/>
    <w:lvl w:ilvl="0" w:tentative="0">
      <w:start w:val="1"/>
      <w:numFmt w:val="decimal"/>
      <w:lvlText w:val="%1."/>
      <w:lvlJc w:val="left"/>
      <w:pPr>
        <w:tabs>
          <w:tab w:val="left" w:pos="425"/>
        </w:tabs>
        <w:ind w:left="425" w:hanging="425"/>
      </w:pPr>
      <w:rPr>
        <w:rFonts w:hint="default"/>
      </w:rPr>
    </w:lvl>
  </w:abstractNum>
  <w:abstractNum w:abstractNumId="15">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7"/>
  </w:num>
  <w:num w:numId="5">
    <w:abstractNumId w:val="2"/>
  </w:num>
  <w:num w:numId="6">
    <w:abstractNumId w:val="16"/>
  </w:num>
  <w:num w:numId="7">
    <w:abstractNumId w:val="10"/>
  </w:num>
  <w:num w:numId="8">
    <w:abstractNumId w:val="5"/>
  </w:num>
  <w:num w:numId="9">
    <w:abstractNumId w:val="0"/>
  </w:num>
  <w:num w:numId="10">
    <w:abstractNumId w:val="13"/>
  </w:num>
  <w:num w:numId="11">
    <w:abstractNumId w:val="9"/>
  </w:num>
  <w:num w:numId="12">
    <w:abstractNumId w:val="15"/>
  </w:num>
  <w:num w:numId="13">
    <w:abstractNumId w:val="6"/>
  </w:num>
  <w:num w:numId="14">
    <w:abstractNumId w:val="7"/>
  </w:num>
  <w:num w:numId="15">
    <w:abstractNumId w:val="4"/>
  </w:num>
  <w:num w:numId="16">
    <w:abstractNumId w:val="12"/>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5BF60C0"/>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AD2B4B"/>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5F495E"/>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535632"/>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99F11C0"/>
    <w:rsid w:val="7AAB15D2"/>
    <w:rsid w:val="7B6706DA"/>
    <w:rsid w:val="7C0F7C94"/>
    <w:rsid w:val="7C437203"/>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2"/>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2"/>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2"/>
    <w:next w:val="1"/>
    <w:qFormat/>
    <w:uiPriority w:val="0"/>
    <w:pPr>
      <w:spacing w:before="360" w:beforeLines="0" w:after="120" w:afterLines="0" w:line="440" w:lineRule="exact"/>
    </w:pPr>
    <w:rPr>
      <w:rFonts w:ascii="仿宋_GB2312"/>
      <w:sz w:val="24"/>
    </w:rPr>
  </w:style>
  <w:style w:type="paragraph" w:customStyle="1" w:styleId="189">
    <w:name w:val="Lilly Heading 3"/>
    <w:basedOn w:val="2"/>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2341</Words>
  <Characters>2562</Characters>
  <Lines>243</Lines>
  <Paragraphs>68</Paragraphs>
  <TotalTime>5</TotalTime>
  <ScaleCrop>false</ScaleCrop>
  <LinksUpToDate>false</LinksUpToDate>
  <CharactersWithSpaces>2769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2025-10-21T00:16:56Z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