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WKZB-2024-031</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氢氧化铝胶</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氢氧化铝胶</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WKZB-2024-031</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氢氧化铝胶</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氢氧化铝胶，预计年采购量6000KG。</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氢氧化铝胶</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氢氧化铝胶</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10</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16</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16</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氢氧化铝胶</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152045527"/>
      <w:bookmarkStart w:id="37" w:name="_Toc109736026"/>
      <w:bookmarkStart w:id="38" w:name="_Toc179632544"/>
      <w:bookmarkStart w:id="39" w:name="_Toc25653"/>
      <w:bookmarkStart w:id="40" w:name="_Toc233102490"/>
      <w:bookmarkStart w:id="41" w:name="_Toc390940505"/>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5528"/>
      <w:bookmarkStart w:id="44" w:name="_Toc109736027"/>
      <w:bookmarkStart w:id="45" w:name="_Toc233102491"/>
      <w:bookmarkStart w:id="46" w:name="_Toc390940506"/>
      <w:bookmarkStart w:id="47" w:name="_Toc179632545"/>
      <w:bookmarkStart w:id="48" w:name="_Toc18804"/>
      <w:bookmarkStart w:id="49" w:name="_Toc20399"/>
      <w:bookmarkStart w:id="50" w:name="_Toc152042304"/>
      <w:bookmarkStart w:id="51" w:name="_Toc14497449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cs="宋体"/>
                <w:szCs w:val="21"/>
                <w:highlight w:val="yellow"/>
                <w:lang w:val="en-US" w:bidi="zh-CN"/>
              </w:rPr>
              <w:t>12</w:t>
            </w:r>
            <w:r>
              <w:rPr>
                <w:rFonts w:hint="eastAsia" w:ascii="宋体" w:hAnsi="宋体"/>
                <w:b/>
                <w:bCs/>
                <w:szCs w:val="21"/>
                <w:highlight w:val="yellow"/>
                <w:u w:val="single"/>
              </w:rPr>
              <w:t>月</w:t>
            </w:r>
            <w:r>
              <w:rPr>
                <w:rFonts w:hint="eastAsia" w:ascii="宋体" w:hAnsi="宋体" w:cs="宋体"/>
                <w:szCs w:val="21"/>
                <w:highlight w:val="yellow"/>
                <w:lang w:val="en-US" w:bidi="zh-CN"/>
              </w:rPr>
              <w:t>16</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bookmarkStart w:id="415" w:name="_GoBack"/>
            <w:bookmarkEnd w:id="415"/>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520356143"/>
      <w:bookmarkStart w:id="54" w:name="_Toc216582805"/>
      <w:bookmarkStart w:id="55" w:name="_Toc179632546"/>
      <w:bookmarkStart w:id="56" w:name="_Toc233102492"/>
      <w:bookmarkStart w:id="57" w:name="_Toc152042305"/>
      <w:bookmarkStart w:id="58" w:name="_Toc152045529"/>
      <w:bookmarkStart w:id="59" w:name="_Toc144974497"/>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09736029"/>
      <w:bookmarkStart w:id="63" w:name="_Toc27571"/>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30223"/>
      <w:bookmarkStart w:id="70" w:name="_Toc205"/>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472"/>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520356146"/>
      <w:bookmarkStart w:id="76" w:name="_Toc1810"/>
      <w:bookmarkStart w:id="77" w:name="_Toc109736033"/>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52035615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23629"/>
      <w:bookmarkStart w:id="119" w:name="_Toc216582808"/>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520356163"/>
      <w:bookmarkStart w:id="129" w:name="_Toc216582809"/>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Ref467307010"/>
      <w:bookmarkStart w:id="146" w:name="_Toc109736056"/>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6377"/>
      <w:bookmarkStart w:id="157" w:name="_Ref467306978"/>
      <w:bookmarkStart w:id="158" w:name="_Ref467307204"/>
      <w:bookmarkStart w:id="159" w:name="_Ref467307062"/>
      <w:bookmarkStart w:id="160" w:name="_Toc520356175"/>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99"/>
      <w:bookmarkStart w:id="172" w:name="_Ref467379195"/>
      <w:bookmarkStart w:id="173" w:name="_Ref467379109"/>
      <w:bookmarkStart w:id="174" w:name="_Toc487900349"/>
      <w:bookmarkStart w:id="175" w:name="_Ref467379094"/>
      <w:bookmarkStart w:id="176" w:name="_Toc415222497"/>
      <w:bookmarkStart w:id="177" w:name="_Ref467379101"/>
      <w:bookmarkStart w:id="178" w:name="_Ref467379225"/>
      <w:bookmarkStart w:id="179" w:name="_Ref467379214"/>
      <w:bookmarkStart w:id="180" w:name="_Ref467378463"/>
      <w:bookmarkStart w:id="181" w:name="_Ref467378404"/>
      <w:bookmarkStart w:id="182" w:name="_Ref467379205"/>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87900350"/>
      <w:bookmarkStart w:id="190" w:name="_Toc31740"/>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15222499"/>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87900352"/>
      <w:bookmarkStart w:id="198" w:name="_Toc4693"/>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32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91"/>
      <w:bookmarkStart w:id="205" w:name="_Toc487900354"/>
      <w:bookmarkStart w:id="206" w:name="_Ref467378541"/>
      <w:bookmarkStart w:id="207" w:name="_Ref467379542"/>
      <w:bookmarkStart w:id="208" w:name="_Ref467379536"/>
      <w:bookmarkStart w:id="209" w:name="_Toc11864"/>
      <w:bookmarkStart w:id="210" w:name="_Ref467379527"/>
      <w:bookmarkStart w:id="211" w:name="_Toc18715"/>
      <w:bookmarkStart w:id="212" w:name="_Toc41522250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415222503"/>
      <w:bookmarkStart w:id="216" w:name="_Toc12437"/>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Ref467379807"/>
      <w:bookmarkStart w:id="220" w:name="_Toc15361"/>
      <w:bookmarkStart w:id="221" w:name="_Toc415222504"/>
      <w:bookmarkStart w:id="222" w:name="_Toc48790035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415222505"/>
      <w:bookmarkStart w:id="226" w:name="_Toc6588"/>
      <w:bookmarkStart w:id="227" w:name="_Toc487900358"/>
      <w:bookmarkStart w:id="228" w:name="_Ref467379923"/>
      <w:bookmarkStart w:id="229" w:name="_Ref467379863"/>
      <w:bookmarkStart w:id="230" w:name="_Toc1380"/>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46"/>
      <w:bookmarkStart w:id="232" w:name="_Ref467377798"/>
      <w:bookmarkStart w:id="233" w:name="_Ref467377962"/>
      <w:bookmarkStart w:id="234" w:name="_Toc487900359"/>
      <w:bookmarkStart w:id="235" w:name="_Toc28649"/>
      <w:bookmarkStart w:id="236" w:name="_Toc415222506"/>
      <w:bookmarkStart w:id="237" w:name="_Toc15447"/>
      <w:bookmarkStart w:id="238" w:name="_Ref46737993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11317"/>
      <w:bookmarkStart w:id="242" w:name="_Toc41522250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3172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415222509"/>
      <w:bookmarkStart w:id="251" w:name="_Toc3148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15222510"/>
      <w:bookmarkStart w:id="255" w:name="_Toc487900363"/>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22040"/>
      <w:bookmarkStart w:id="258" w:name="_Toc6322"/>
      <w:bookmarkStart w:id="259" w:name="_Ref467378121"/>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487900365"/>
      <w:bookmarkStart w:id="264" w:name="_Toc29320"/>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15222514"/>
      <w:bookmarkStart w:id="272" w:name="_Toc16231"/>
      <w:bookmarkStart w:id="273" w:name="_Toc9543"/>
      <w:bookmarkStart w:id="274" w:name="_Toc487900367"/>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415222515"/>
      <w:bookmarkStart w:id="278" w:name="_Toc22065"/>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87900369"/>
      <w:bookmarkStart w:id="282" w:name="_Toc415222516"/>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2142"/>
      <w:bookmarkStart w:id="286" w:name="_Toc487900370"/>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737"/>
      <w:bookmarkStart w:id="290" w:name="_Toc487900371"/>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3747"/>
      <w:bookmarkStart w:id="298" w:name="_Toc487900373"/>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26432"/>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9175623"/>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18935352"/>
      <w:bookmarkStart w:id="315" w:name="_Toc15903"/>
      <w:bookmarkStart w:id="316" w:name="_Toc27454"/>
      <w:bookmarkStart w:id="317" w:name="_Toc220229326"/>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货物验收合格后，六个月账期，含100%银行承兑汇票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109736069"/>
      <w:bookmarkStart w:id="340" w:name="_Toc216582813"/>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109736070"/>
      <w:bookmarkStart w:id="346" w:name="_Toc480942350"/>
      <w:bookmarkStart w:id="347" w:name="_Toc29788"/>
      <w:bookmarkStart w:id="348" w:name="_Toc216582814"/>
      <w:bookmarkStart w:id="349" w:name="_Toc415222525"/>
      <w:bookmarkStart w:id="350" w:name="_Toc520356218"/>
      <w:bookmarkStart w:id="351" w:name="_Ref46798870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WKZB-2024-031</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6"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96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2"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氢氧化铝胶</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符合URS01/URS02质量标准（选择合适的填写）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WKZB-2024-031</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付款周期：6个月</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WKZB-2024-031</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415222530"/>
      <w:bookmarkStart w:id="364" w:name="_Toc216582819"/>
      <w:bookmarkStart w:id="365" w:name="_Toc13093"/>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343000"/>
      <w:bookmarkEnd w:id="369"/>
      <w:bookmarkStart w:id="370" w:name="_Hlt520350918"/>
      <w:bookmarkEnd w:id="370"/>
      <w:bookmarkStart w:id="371" w:name="_Hlt520274393"/>
      <w:bookmarkEnd w:id="371"/>
      <w:bookmarkStart w:id="372" w:name="_Hlt520273711"/>
      <w:bookmarkEnd w:id="372"/>
      <w:bookmarkStart w:id="373" w:name="_Hlt520274065"/>
      <w:bookmarkEnd w:id="373"/>
      <w:bookmarkStart w:id="374" w:name="_Hlt520274121"/>
      <w:bookmarkEnd w:id="374"/>
      <w:bookmarkStart w:id="375" w:name="_Hlt520273973"/>
      <w:bookmarkEnd w:id="375"/>
      <w:bookmarkStart w:id="376" w:name="_Hlt520274407"/>
      <w:bookmarkEnd w:id="376"/>
      <w:bookmarkStart w:id="377" w:name="_Hlt520271212"/>
      <w:bookmarkEnd w:id="377"/>
      <w:bookmarkStart w:id="378" w:name="_Hlt520350957"/>
      <w:bookmarkEnd w:id="378"/>
      <w:bookmarkStart w:id="379" w:name="_Hlt520343392"/>
      <w:bookmarkEnd w:id="379"/>
      <w:bookmarkStart w:id="380" w:name="_Ref467990064"/>
      <w:bookmarkStart w:id="381" w:name="_Ref467988485"/>
      <w:bookmarkStart w:id="382" w:name="_Toc520125061"/>
      <w:bookmarkStart w:id="383" w:name="_Toc520356229"/>
      <w:bookmarkStart w:id="384" w:name="_Toc480942358"/>
      <w:bookmarkStart w:id="385" w:name="_Ref467990100"/>
      <w:bookmarkStart w:id="386" w:name="_Ref467988471"/>
      <w:bookmarkStart w:id="387" w:name="_Toc520125062"/>
      <w:bookmarkStart w:id="388" w:name="_Toc520356228"/>
      <w:bookmarkStart w:id="389" w:name="_Ref467990101"/>
      <w:bookmarkStart w:id="390" w:name="_Ref467990058"/>
      <w:bookmarkStart w:id="391" w:name="_Toc480942357"/>
      <w:bookmarkStart w:id="392" w:name="_Ref467988479"/>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氢氧化铝胶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WKZB-2024-031</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20229434"/>
      <w:bookmarkStart w:id="407" w:name="_Toc109736075"/>
      <w:bookmarkStart w:id="408" w:name="_Toc216582826"/>
      <w:bookmarkStart w:id="409" w:name="_Toc21893535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2"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tbl>
      <w:tblPr>
        <w:tblStyle w:val="51"/>
        <w:tblW w:w="95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32"/>
        <w:gridCol w:w="142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588"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pPr>
              <w:snapToGrid w:val="0"/>
              <w:jc w:val="center"/>
              <w:rPr>
                <w:rFonts w:hint="default" w:eastAsia="宋体"/>
                <w:b/>
                <w:szCs w:val="21"/>
                <w:lang w:val="en-US" w:eastAsia="zh-CN"/>
              </w:rPr>
            </w:pPr>
            <w:r>
              <w:rPr>
                <w:rFonts w:hint="eastAsia"/>
                <w:b/>
                <w:szCs w:val="21"/>
                <w:lang w:val="en-US" w:eastAsia="zh-CN"/>
              </w:rPr>
              <w:t>URS 01质量要求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top w:val="single" w:color="auto" w:sz="4" w:space="0"/>
              <w:left w:val="single" w:color="auto" w:sz="4" w:space="0"/>
              <w:bottom w:val="single" w:color="auto" w:sz="4" w:space="0"/>
            </w:tcBorders>
            <w:shd w:val="clear" w:color="auto" w:fill="D9D9D9"/>
            <w:noWrap w:val="0"/>
            <w:vAlign w:val="center"/>
          </w:tcPr>
          <w:p>
            <w:pPr>
              <w:snapToGrid w:val="0"/>
              <w:jc w:val="center"/>
              <w:rPr>
                <w:b/>
                <w:szCs w:val="21"/>
              </w:rPr>
            </w:pPr>
            <w:r>
              <w:rPr>
                <w:b/>
                <w:szCs w:val="21"/>
              </w:rPr>
              <w:t>序号</w:t>
            </w:r>
          </w:p>
        </w:tc>
        <w:tc>
          <w:tcPr>
            <w:tcW w:w="7032"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要</w:t>
            </w:r>
            <w:r>
              <w:rPr>
                <w:rFonts w:hint="eastAsia"/>
                <w:b/>
                <w:szCs w:val="21"/>
                <w:lang w:val="en-US" w:eastAsia="zh-CN"/>
              </w:rPr>
              <w:t xml:space="preserve">   </w:t>
            </w:r>
            <w:r>
              <w:rPr>
                <w:b/>
                <w:szCs w:val="21"/>
              </w:rPr>
              <w:t>求</w:t>
            </w:r>
          </w:p>
        </w:tc>
        <w:tc>
          <w:tcPr>
            <w:tcW w:w="1421"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必需或期望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szCs w:val="21"/>
              </w:rPr>
            </w:pPr>
            <w:r>
              <w:rPr>
                <w:szCs w:val="21"/>
              </w:rPr>
              <w:t>URS001</w:t>
            </w:r>
          </w:p>
        </w:tc>
        <w:tc>
          <w:tcPr>
            <w:tcW w:w="7032" w:type="dxa"/>
            <w:tcBorders>
              <w:top w:val="single" w:color="auto" w:sz="6" w:space="0"/>
              <w:bottom w:val="single" w:color="auto" w:sz="6" w:space="0"/>
              <w:right w:val="single" w:color="auto" w:sz="4" w:space="0"/>
            </w:tcBorders>
            <w:noWrap w:val="0"/>
            <w:vAlign w:val="center"/>
          </w:tcPr>
          <w:p>
            <w:pPr>
              <w:jc w:val="left"/>
              <w:rPr>
                <w:rFonts w:hint="default" w:eastAsia="宋体"/>
                <w:szCs w:val="21"/>
                <w:lang w:val="en-US" w:eastAsia="zh-CN"/>
              </w:rPr>
            </w:pPr>
            <w:r>
              <w:rPr>
                <w:rFonts w:hint="eastAsia"/>
                <w:szCs w:val="21"/>
                <w:lang w:val="en-US" w:eastAsia="zh-CN"/>
              </w:rPr>
              <w:t>进口佐剂应符合欧盟的的药典要求及检验标准。</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2</w:t>
            </w:r>
          </w:p>
        </w:tc>
        <w:tc>
          <w:tcPr>
            <w:tcW w:w="7032" w:type="dxa"/>
            <w:tcBorders>
              <w:top w:val="single" w:color="auto" w:sz="6" w:space="0"/>
              <w:bottom w:val="single" w:color="auto" w:sz="6" w:space="0"/>
              <w:right w:val="single" w:color="auto" w:sz="4" w:space="0"/>
            </w:tcBorders>
            <w:noWrap w:val="0"/>
            <w:vAlign w:val="center"/>
          </w:tcPr>
          <w:p>
            <w:pPr>
              <w:jc w:val="left"/>
              <w:rPr>
                <w:rFonts w:hint="eastAsia"/>
                <w:szCs w:val="21"/>
                <w:lang w:val="en-US" w:eastAsia="zh-CN"/>
              </w:rPr>
            </w:pPr>
            <w:r>
              <w:rPr>
                <w:rFonts w:hint="eastAsia" w:ascii="Times New Roman" w:hAnsi="Times New Roman" w:eastAsia="宋体" w:cs="Times New Roman"/>
                <w:szCs w:val="21"/>
                <w:lang w:val="en-US" w:eastAsia="zh-CN"/>
              </w:rPr>
              <w:t>性状：应为白色悬液、无臭、细腻的胶体，薄层半透明，静置能析出少量水分，不得含有异物，不应有霉菌生长或变质。</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3</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eastAsia="宋体"/>
                <w:szCs w:val="21"/>
                <w:lang w:val="en-US" w:eastAsia="zh-CN"/>
              </w:rPr>
            </w:pPr>
            <w:r>
              <w:rPr>
                <w:rFonts w:hint="eastAsia" w:ascii="Times New Roman" w:hAnsi="Times New Roman" w:eastAsia="宋体" w:cs="Times New Roman"/>
                <w:szCs w:val="21"/>
                <w:lang w:val="en-US" w:eastAsia="zh-CN"/>
              </w:rPr>
              <w:t>吸附力测定 ：应符合EP。</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4</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pH值测定 ：pH值应为6.0～7.0。</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5</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氯化物含量测定 ： 应不超过0.3%。</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6</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硫酸盐含量测定：应≤0.5%。</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7</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含氨量测定：＜50PPM。</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8</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重金属含量测定：＜10PPM。</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9</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砷盐含量测定：＜1PPM。</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10</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GB" w:eastAsia="zh-CN" w:bidi="ar-SA"/>
              </w:rPr>
            </w:pPr>
            <w:r>
              <w:rPr>
                <w:rFonts w:hint="eastAsia" w:ascii="Times New Roman" w:hAnsi="Times New Roman" w:eastAsia="宋体" w:cs="Times New Roman"/>
                <w:szCs w:val="21"/>
                <w:lang w:val="en-US" w:eastAsia="zh-CN"/>
              </w:rPr>
              <w:t xml:space="preserve"> 胶态沉降：其沉淀物应不少于5.0ml。</w:t>
            </w:r>
          </w:p>
        </w:tc>
        <w:tc>
          <w:tcPr>
            <w:tcW w:w="1421" w:type="dxa"/>
            <w:tcBorders>
              <w:right w:val="single" w:color="auto" w:sz="4" w:space="0"/>
            </w:tcBorders>
            <w:noWrap w:val="0"/>
            <w:vAlign w:val="center"/>
          </w:tcPr>
          <w:p>
            <w:pPr>
              <w:snapToGrid w:val="0"/>
              <w:jc w:val="center"/>
              <w:rPr>
                <w:szCs w:val="21"/>
                <w:lang w:val="fr-FR" w:eastAsia="zh-CN" w:bidi="ar-SA"/>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eastAsia="宋体"/>
                <w:szCs w:val="21"/>
                <w:lang w:val="en-US" w:eastAsia="zh-CN" w:bidi="ar-SA"/>
              </w:rPr>
            </w:pPr>
            <w:r>
              <w:rPr>
                <w:szCs w:val="21"/>
              </w:rPr>
              <w:t>URS0</w:t>
            </w:r>
            <w:r>
              <w:rPr>
                <w:rFonts w:hint="eastAsia"/>
                <w:szCs w:val="21"/>
                <w:lang w:val="en-US" w:eastAsia="zh-CN"/>
              </w:rPr>
              <w:t>11</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bidi="ar-SA"/>
              </w:rPr>
            </w:pPr>
            <w:r>
              <w:rPr>
                <w:rFonts w:hint="eastAsia" w:ascii="Times New Roman" w:hAnsi="Times New Roman" w:eastAsia="宋体" w:cs="Times New Roman"/>
                <w:szCs w:val="21"/>
                <w:lang w:val="en-US" w:eastAsia="zh-CN"/>
              </w:rPr>
              <w:t>氧化铝含量测定：应控制在1.9-2.1%。</w:t>
            </w:r>
          </w:p>
        </w:tc>
        <w:tc>
          <w:tcPr>
            <w:tcW w:w="1421" w:type="dxa"/>
            <w:tcBorders>
              <w:right w:val="single" w:color="auto" w:sz="4" w:space="0"/>
            </w:tcBorders>
            <w:noWrap w:val="0"/>
            <w:vAlign w:val="center"/>
          </w:tcPr>
          <w:p>
            <w:pPr>
              <w:snapToGrid w:val="0"/>
              <w:jc w:val="center"/>
              <w:rPr>
                <w:szCs w:val="21"/>
                <w:lang w:val="fr-FR" w:eastAsia="zh-CN" w:bidi="ar-SA"/>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12</w:t>
            </w:r>
          </w:p>
        </w:tc>
        <w:tc>
          <w:tcPr>
            <w:tcW w:w="7032" w:type="dxa"/>
            <w:tcBorders>
              <w:top w:val="single" w:color="auto" w:sz="6" w:space="0"/>
              <w:bottom w:val="single" w:color="auto" w:sz="6" w:space="0"/>
              <w:right w:val="single" w:color="auto" w:sz="4" w:space="0"/>
            </w:tcBorders>
            <w:noWrap w:val="0"/>
            <w:vAlign w:val="center"/>
          </w:tcPr>
          <w:p>
            <w:pPr>
              <w:keepNext w:val="0"/>
              <w:keepLines w:val="0"/>
              <w:widowControl/>
              <w:suppressLineNumbers w:val="0"/>
              <w:jc w:val="left"/>
              <w:rPr>
                <w:rFonts w:hint="default" w:ascii="Times New Roman" w:hAnsi="Times New Roman" w:eastAsia="宋体" w:cs="Times New Roman"/>
                <w:szCs w:val="21"/>
                <w:lang w:val="en-US" w:eastAsia="zh-CN" w:bidi="ar-SA"/>
              </w:rPr>
            </w:pPr>
            <w:r>
              <w:rPr>
                <w:rFonts w:hint="eastAsia" w:ascii="Times New Roman" w:hAnsi="Times New Roman" w:eastAsia="宋体" w:cs="Times New Roman"/>
                <w:szCs w:val="21"/>
                <w:lang w:val="en-US" w:eastAsia="zh-CN"/>
              </w:rPr>
              <w:t xml:space="preserve"> 内毒素含量：</w:t>
            </w:r>
            <w:r>
              <w:rPr>
                <w:rFonts w:hint="default" w:ascii="Times New Roman" w:hAnsi="Times New Roman" w:eastAsia="宋体" w:cs="Times New Roman"/>
                <w:color w:val="000000"/>
                <w:kern w:val="0"/>
                <w:sz w:val="21"/>
                <w:szCs w:val="21"/>
                <w:lang w:val="en-US" w:eastAsia="zh-CN" w:bidi="ar"/>
              </w:rPr>
              <w:t xml:space="preserve">&lt; 5IU/mg Al </w:t>
            </w:r>
          </w:p>
        </w:tc>
        <w:tc>
          <w:tcPr>
            <w:tcW w:w="1421" w:type="dxa"/>
            <w:tcBorders>
              <w:right w:val="single" w:color="auto" w:sz="4" w:space="0"/>
            </w:tcBorders>
            <w:noWrap w:val="0"/>
            <w:vAlign w:val="center"/>
          </w:tcPr>
          <w:p>
            <w:pPr>
              <w:snapToGrid w:val="0"/>
              <w:jc w:val="center"/>
              <w:rPr>
                <w:szCs w:val="21"/>
                <w:lang w:val="fr-FR" w:eastAsia="zh-CN" w:bidi="ar-SA"/>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szCs w:val="21"/>
                <w:lang w:val="en-US" w:eastAsia="zh-CN" w:bidi="ar-SA"/>
              </w:rPr>
            </w:pPr>
            <w:r>
              <w:rPr>
                <w:szCs w:val="21"/>
              </w:rPr>
              <w:t>URS0</w:t>
            </w:r>
            <w:r>
              <w:rPr>
                <w:rFonts w:hint="eastAsia"/>
                <w:szCs w:val="21"/>
                <w:lang w:val="en-US" w:eastAsia="zh-CN"/>
              </w:rPr>
              <w:t>13</w:t>
            </w:r>
          </w:p>
        </w:tc>
        <w:tc>
          <w:tcPr>
            <w:tcW w:w="7032" w:type="dxa"/>
            <w:tcBorders>
              <w:top w:val="single" w:color="auto" w:sz="6" w:space="0"/>
              <w:bottom w:val="single" w:color="auto" w:sz="6" w:space="0"/>
              <w:right w:val="single" w:color="auto" w:sz="4" w:space="0"/>
            </w:tcBorders>
            <w:noWrap w:val="0"/>
            <w:vAlign w:val="center"/>
          </w:tcPr>
          <w:p>
            <w:pPr>
              <w:pStyle w:val="5"/>
              <w:numPr>
                <w:ilvl w:val="0"/>
                <w:numId w:val="0"/>
              </w:numPr>
              <w:ind w:left="0" w:leftChars="0" w:firstLine="0" w:firstLineChars="0"/>
              <w:rPr>
                <w:rFonts w:hint="default" w:ascii="Times New Roman" w:hAnsi="Times New Roman" w:eastAsia="宋体" w:cs="Times New Roman"/>
                <w:i w:val="0"/>
                <w:sz w:val="20"/>
                <w:szCs w:val="21"/>
                <w:lang w:val="en-US" w:eastAsia="zh-CN" w:bidi="ar-SA"/>
              </w:rPr>
            </w:pPr>
            <w:r>
              <w:rPr>
                <w:rFonts w:hint="eastAsia" w:ascii="Times New Roman" w:hAnsi="Times New Roman" w:eastAsia="宋体" w:cs="Times New Roman"/>
                <w:i w:val="0"/>
                <w:sz w:val="20"/>
                <w:szCs w:val="21"/>
                <w:lang w:val="en-US" w:eastAsia="zh-CN" w:bidi="ar-SA"/>
              </w:rPr>
              <w:t>供货条件 ：密封，2-8℃保存,产品供应产品应在有效期  6-12月之内。</w:t>
            </w:r>
          </w:p>
        </w:tc>
        <w:tc>
          <w:tcPr>
            <w:tcW w:w="1421" w:type="dxa"/>
            <w:tcBorders>
              <w:right w:val="single" w:color="auto" w:sz="4" w:space="0"/>
            </w:tcBorders>
            <w:noWrap w:val="0"/>
            <w:vAlign w:val="center"/>
          </w:tcPr>
          <w:p>
            <w:pPr>
              <w:snapToGrid w:val="0"/>
              <w:jc w:val="center"/>
              <w:rPr>
                <w:rFonts w:hint="eastAsia"/>
                <w:szCs w:val="21"/>
                <w:lang w:val="en-US" w:eastAsia="zh-CN" w:bidi="ar-SA"/>
              </w:rPr>
            </w:pPr>
            <w:r>
              <w:rPr>
                <w:szCs w:val="21"/>
              </w:rPr>
              <w:t>必需</w:t>
            </w:r>
          </w:p>
        </w:tc>
      </w:tr>
    </w:tbl>
    <w:p>
      <w:pPr>
        <w:bidi w:val="0"/>
        <w:rPr>
          <w:rFonts w:hint="eastAsia"/>
          <w:lang w:val="en-US" w:eastAsia="zh-CN"/>
        </w:rPr>
      </w:pPr>
    </w:p>
    <w:tbl>
      <w:tblPr>
        <w:tblStyle w:val="51"/>
        <w:tblW w:w="95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32"/>
        <w:gridCol w:w="142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588"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pPr>
              <w:snapToGrid w:val="0"/>
              <w:jc w:val="center"/>
              <w:rPr>
                <w:b/>
                <w:szCs w:val="21"/>
              </w:rPr>
            </w:pPr>
            <w:r>
              <w:rPr>
                <w:rFonts w:hint="eastAsia"/>
                <w:b/>
                <w:szCs w:val="21"/>
                <w:lang w:val="en-US" w:eastAsia="zh-CN"/>
              </w:rPr>
              <w:t>URS 02质量要求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top w:val="single" w:color="auto" w:sz="4" w:space="0"/>
              <w:left w:val="single" w:color="auto" w:sz="4" w:space="0"/>
              <w:bottom w:val="single" w:color="auto" w:sz="4" w:space="0"/>
            </w:tcBorders>
            <w:shd w:val="clear" w:color="auto" w:fill="D9D9D9"/>
            <w:noWrap w:val="0"/>
            <w:vAlign w:val="center"/>
          </w:tcPr>
          <w:p>
            <w:pPr>
              <w:snapToGrid w:val="0"/>
              <w:jc w:val="center"/>
              <w:rPr>
                <w:b/>
                <w:szCs w:val="21"/>
              </w:rPr>
            </w:pPr>
            <w:r>
              <w:rPr>
                <w:b/>
                <w:szCs w:val="21"/>
              </w:rPr>
              <w:t>序号</w:t>
            </w:r>
          </w:p>
        </w:tc>
        <w:tc>
          <w:tcPr>
            <w:tcW w:w="7032"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要</w:t>
            </w:r>
            <w:r>
              <w:rPr>
                <w:rFonts w:hint="eastAsia"/>
                <w:b/>
                <w:szCs w:val="21"/>
                <w:lang w:val="en-US" w:eastAsia="zh-CN"/>
              </w:rPr>
              <w:t xml:space="preserve">      </w:t>
            </w:r>
            <w:r>
              <w:rPr>
                <w:b/>
                <w:szCs w:val="21"/>
              </w:rPr>
              <w:t>求</w:t>
            </w:r>
          </w:p>
        </w:tc>
        <w:tc>
          <w:tcPr>
            <w:tcW w:w="1421"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必需或期望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szCs w:val="21"/>
              </w:rPr>
            </w:pPr>
            <w:r>
              <w:rPr>
                <w:szCs w:val="21"/>
              </w:rPr>
              <w:t>URS001</w:t>
            </w:r>
          </w:p>
        </w:tc>
        <w:tc>
          <w:tcPr>
            <w:tcW w:w="7032" w:type="dxa"/>
            <w:tcBorders>
              <w:top w:val="single" w:color="auto" w:sz="6" w:space="0"/>
              <w:bottom w:val="single" w:color="auto" w:sz="6" w:space="0"/>
              <w:right w:val="single" w:color="auto" w:sz="4" w:space="0"/>
            </w:tcBorders>
            <w:noWrap w:val="0"/>
            <w:vAlign w:val="center"/>
          </w:tcPr>
          <w:p>
            <w:pPr>
              <w:jc w:val="left"/>
              <w:rPr>
                <w:rFonts w:hint="default" w:eastAsia="宋体"/>
                <w:szCs w:val="21"/>
                <w:lang w:val="en-US" w:eastAsia="zh-CN"/>
              </w:rPr>
            </w:pPr>
            <w:r>
              <w:rPr>
                <w:szCs w:val="21"/>
              </w:rPr>
              <w:t>应符合中国</w:t>
            </w:r>
            <w:r>
              <w:rPr>
                <w:rFonts w:hint="eastAsia"/>
                <w:szCs w:val="21"/>
              </w:rPr>
              <w:t>现行</w:t>
            </w:r>
            <w:r>
              <w:rPr>
                <w:szCs w:val="21"/>
              </w:rPr>
              <w:t>GMP</w:t>
            </w:r>
            <w:r>
              <w:rPr>
                <w:rFonts w:hint="eastAsia"/>
                <w:szCs w:val="21"/>
                <w:lang w:val="en-US" w:eastAsia="zh-CN"/>
              </w:rPr>
              <w:t>的</w:t>
            </w:r>
            <w:r>
              <w:rPr>
                <w:szCs w:val="21"/>
              </w:rPr>
              <w:t>要求</w:t>
            </w:r>
            <w:r>
              <w:rPr>
                <w:rFonts w:hint="eastAsia"/>
                <w:szCs w:val="21"/>
                <w:lang w:eastAsia="zh-CN"/>
              </w:rPr>
              <w:t>，</w:t>
            </w:r>
            <w:r>
              <w:rPr>
                <w:rFonts w:hint="eastAsia"/>
                <w:szCs w:val="21"/>
                <w:lang w:val="en-US" w:eastAsia="zh-CN"/>
              </w:rPr>
              <w:t>符合生产主要原材料标准</w:t>
            </w:r>
            <w:r>
              <w:rPr>
                <w:szCs w:val="21"/>
              </w:rPr>
              <w:t>。</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2</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GB" w:eastAsia="zh-CN" w:bidi="ar-SA"/>
              </w:rPr>
            </w:pPr>
            <w:r>
              <w:rPr>
                <w:rFonts w:hint="eastAsia" w:ascii="Times New Roman" w:hAnsi="Times New Roman" w:eastAsia="宋体" w:cs="Times New Roman"/>
                <w:szCs w:val="21"/>
                <w:lang w:val="en-US" w:eastAsia="zh-CN"/>
              </w:rPr>
              <w:t>性状：应为淡灰白色、无臭、细腻的胶体，薄层半透明，静置能析出少量水分，不得含有异物，不应有霉菌生长或变质。</w:t>
            </w:r>
          </w:p>
        </w:tc>
        <w:tc>
          <w:tcPr>
            <w:tcW w:w="1421" w:type="dxa"/>
            <w:tcBorders>
              <w:right w:val="single" w:color="auto" w:sz="4" w:space="0"/>
            </w:tcBorders>
            <w:noWrap w:val="0"/>
            <w:vAlign w:val="center"/>
          </w:tcPr>
          <w:p>
            <w:pPr>
              <w:snapToGrid w:val="0"/>
              <w:jc w:val="center"/>
              <w:rPr>
                <w:szCs w:val="21"/>
                <w:lang w:val="fr-FR" w:eastAsia="zh-CN" w:bidi="ar-SA"/>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3</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eastAsia="宋体"/>
                <w:szCs w:val="21"/>
                <w:lang w:val="en-US" w:eastAsia="zh-CN"/>
              </w:rPr>
            </w:pPr>
            <w:r>
              <w:rPr>
                <w:rFonts w:hint="eastAsia" w:ascii="Times New Roman" w:hAnsi="Times New Roman" w:eastAsia="宋体" w:cs="Times New Roman"/>
                <w:szCs w:val="21"/>
                <w:lang w:val="en-US" w:eastAsia="zh-CN"/>
              </w:rPr>
              <w:t>吸附力测定 ：精密称取灭菌后的铝胶2.0g，置1000ml磨口具塞三角瓶，加0.077%的刚果红溶液40ml，强烈振摇5分钟，用定性滤纸滤过置50ml的纳氏比色管中，滤液应透明无色；如果有颜色，其颜色与1500倍稀释的标准管比较，不得更深。</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4</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pH值测定 ：取灭菌后的氢氧化铝胶，按现行《中国兽药典》三部附录3101方法进行，pH值应为6.0～7.2。</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5</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氯化物含量测定 ： 按氯化物检查法（现行《中国兽药典》一部附录0801）进行，应不超过0.3%。</w:t>
            </w:r>
          </w:p>
        </w:tc>
        <w:tc>
          <w:tcPr>
            <w:tcW w:w="1421" w:type="dxa"/>
            <w:tcBorders>
              <w:right w:val="single" w:color="auto" w:sz="4" w:space="0"/>
            </w:tcBorders>
            <w:noWrap w:val="0"/>
            <w:vAlign w:val="center"/>
          </w:tcPr>
          <w:p>
            <w:pPr>
              <w:snapToGrid w:val="0"/>
              <w:jc w:val="center"/>
              <w:rPr>
                <w:szCs w:val="21"/>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6</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硫酸盐含量测定：按硫酸盐检查法（现行《中国兽药典》一部附录0802）进行，应不超过0.4%。</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7</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含氨量测定：按铵盐检查法（现行《中国兽药典》一部附录0808）进行，应不超过万分之一。</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8</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重金属含量测定：按重金属检查法（现行《中国兽药典》一部附录0821）进行，应不超过百万分之五。</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9</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砷盐含量测定：按砷盐检查法进行（现行《中国兽药典》一部附录0822），应不超过千万分之八。</w:t>
            </w:r>
          </w:p>
        </w:tc>
        <w:tc>
          <w:tcPr>
            <w:tcW w:w="1421" w:type="dxa"/>
            <w:tcBorders>
              <w:right w:val="single" w:color="auto" w:sz="4" w:space="0"/>
            </w:tcBorders>
            <w:noWrap w:val="0"/>
            <w:vAlign w:val="center"/>
          </w:tcPr>
          <w:p>
            <w:pPr>
              <w:snapToGrid w:val="0"/>
              <w:jc w:val="center"/>
              <w:rPr>
                <w:szCs w:val="21"/>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10</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eastAsia" w:ascii="Times New Roman" w:hAnsi="Times New Roman" w:eastAsia="宋体" w:cs="Times New Roman"/>
                <w:szCs w:val="21"/>
                <w:lang w:val="en-GB" w:eastAsia="zh-CN" w:bidi="ar-SA"/>
              </w:rPr>
            </w:pPr>
            <w:r>
              <w:rPr>
                <w:rFonts w:hint="eastAsia" w:ascii="Times New Roman" w:hAnsi="Times New Roman" w:eastAsia="宋体" w:cs="Times New Roman"/>
                <w:szCs w:val="21"/>
                <w:lang w:val="en-US" w:eastAsia="zh-CN"/>
              </w:rPr>
              <w:t xml:space="preserve"> 胶态沉降：将灭菌后的氢氧化铝胶，用注射用水稀释成0.4%（按AL2O3计），取25ml装入直径17mm的平底量筒或有刻度的平底玻璃管中，置室温下24小时，其沉淀物应不少于4.0ml。</w:t>
            </w:r>
          </w:p>
        </w:tc>
        <w:tc>
          <w:tcPr>
            <w:tcW w:w="1421" w:type="dxa"/>
            <w:tcBorders>
              <w:right w:val="single" w:color="auto" w:sz="4" w:space="0"/>
            </w:tcBorders>
            <w:noWrap w:val="0"/>
            <w:vAlign w:val="center"/>
          </w:tcPr>
          <w:p>
            <w:pPr>
              <w:snapToGrid w:val="0"/>
              <w:jc w:val="center"/>
              <w:rPr>
                <w:szCs w:val="21"/>
                <w:lang w:val="fr-FR" w:eastAsia="zh-CN" w:bidi="ar-SA"/>
              </w:rPr>
            </w:pP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eastAsia="宋体"/>
                <w:szCs w:val="21"/>
                <w:lang w:val="en-US" w:eastAsia="zh-CN" w:bidi="ar-SA"/>
              </w:rPr>
            </w:pPr>
            <w:r>
              <w:rPr>
                <w:szCs w:val="21"/>
              </w:rPr>
              <w:t>URS0</w:t>
            </w:r>
            <w:r>
              <w:rPr>
                <w:rFonts w:hint="eastAsia"/>
                <w:szCs w:val="21"/>
                <w:lang w:val="en-US" w:eastAsia="zh-CN"/>
              </w:rPr>
              <w:t>11</w:t>
            </w:r>
          </w:p>
        </w:tc>
        <w:tc>
          <w:tcPr>
            <w:tcW w:w="7032" w:type="dxa"/>
            <w:tcBorders>
              <w:top w:val="single" w:color="auto" w:sz="6" w:space="0"/>
              <w:bottom w:val="single" w:color="auto" w:sz="6" w:space="0"/>
              <w:right w:val="single" w:color="auto" w:sz="4" w:space="0"/>
            </w:tcBorders>
            <w:noWrap w:val="0"/>
            <w:vAlign w:val="center"/>
          </w:tcPr>
          <w:p>
            <w:pPr>
              <w:spacing w:line="360" w:lineRule="auto"/>
              <w:rPr>
                <w:rFonts w:hint="default" w:ascii="Times New Roman" w:hAnsi="Times New Roman" w:eastAsia="宋体" w:cs="Times New Roman"/>
                <w:szCs w:val="21"/>
                <w:lang w:val="en-US" w:eastAsia="zh-CN" w:bidi="ar-SA"/>
              </w:rPr>
            </w:pPr>
            <w:r>
              <w:rPr>
                <w:rFonts w:hint="eastAsia" w:ascii="Times New Roman" w:hAnsi="Times New Roman" w:eastAsia="宋体" w:cs="Times New Roman"/>
                <w:szCs w:val="21"/>
                <w:lang w:val="en-US" w:eastAsia="zh-CN"/>
              </w:rPr>
              <w:t>氧化铝含量测定：按氢氧化铝（《中国兽药典》一部第203页）[含量测定]项下的方法进行，按氧化铝含量计，内控应不超过3.0%。</w:t>
            </w:r>
          </w:p>
        </w:tc>
        <w:tc>
          <w:tcPr>
            <w:tcW w:w="1421" w:type="dxa"/>
            <w:tcBorders>
              <w:right w:val="single" w:color="auto" w:sz="4" w:space="0"/>
            </w:tcBorders>
            <w:noWrap w:val="0"/>
            <w:vAlign w:val="center"/>
          </w:tcPr>
          <w:p>
            <w:pPr>
              <w:snapToGrid w:val="0"/>
              <w:jc w:val="center"/>
              <w:rPr>
                <w:szCs w:val="21"/>
                <w:lang w:val="fr-FR" w:eastAsia="zh-CN" w:bidi="ar-SA"/>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12</w:t>
            </w:r>
          </w:p>
        </w:tc>
        <w:tc>
          <w:tcPr>
            <w:tcW w:w="7032" w:type="dxa"/>
            <w:tcBorders>
              <w:top w:val="single" w:color="auto" w:sz="6" w:space="0"/>
              <w:bottom w:val="single" w:color="auto" w:sz="6" w:space="0"/>
              <w:right w:val="single" w:color="auto" w:sz="4" w:space="0"/>
            </w:tcBorders>
            <w:noWrap w:val="0"/>
            <w:vAlign w:val="center"/>
          </w:tcPr>
          <w:p>
            <w:pPr>
              <w:keepNext w:val="0"/>
              <w:keepLines w:val="0"/>
              <w:widowControl/>
              <w:suppressLineNumbers w:val="0"/>
              <w:jc w:val="left"/>
              <w:rPr>
                <w:rFonts w:hint="default" w:ascii="Times New Roman" w:hAnsi="Times New Roman" w:eastAsia="宋体" w:cs="Times New Roman"/>
                <w:szCs w:val="21"/>
                <w:lang w:val="en-US" w:eastAsia="zh-CN" w:bidi="ar-SA"/>
              </w:rPr>
            </w:pPr>
            <w:r>
              <w:rPr>
                <w:rFonts w:hint="eastAsia" w:ascii="Times New Roman" w:hAnsi="Times New Roman" w:eastAsia="宋体" w:cs="Times New Roman"/>
                <w:szCs w:val="21"/>
                <w:lang w:val="en-US" w:eastAsia="zh-CN"/>
              </w:rPr>
              <w:t xml:space="preserve"> 内毒素含量</w:t>
            </w:r>
            <w:r>
              <w:rPr>
                <w:rFonts w:hint="default" w:ascii="Times New Roman" w:hAnsi="Times New Roman" w:eastAsia="宋体" w:cs="Times New Roman"/>
                <w:color w:val="000000"/>
                <w:kern w:val="0"/>
                <w:sz w:val="21"/>
                <w:szCs w:val="21"/>
                <w:lang w:val="en-US" w:eastAsia="zh-CN" w:bidi="ar"/>
              </w:rPr>
              <w:t>&lt; 5</w:t>
            </w:r>
            <w:r>
              <w:rPr>
                <w:rFonts w:hint="eastAsia" w:ascii="Times New Roman" w:hAnsi="Times New Roman" w:eastAsia="宋体" w:cs="Times New Roman"/>
                <w:color w:val="000000"/>
                <w:kern w:val="0"/>
                <w:sz w:val="21"/>
                <w:szCs w:val="21"/>
                <w:lang w:val="en-US" w:eastAsia="zh-CN" w:bidi="ar"/>
              </w:rPr>
              <w:t>EU</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ml。</w:t>
            </w:r>
          </w:p>
        </w:tc>
        <w:tc>
          <w:tcPr>
            <w:tcW w:w="1421" w:type="dxa"/>
            <w:tcBorders>
              <w:right w:val="single" w:color="auto" w:sz="4" w:space="0"/>
            </w:tcBorders>
            <w:noWrap w:val="0"/>
            <w:vAlign w:val="center"/>
          </w:tcPr>
          <w:p>
            <w:pPr>
              <w:snapToGrid w:val="0"/>
              <w:jc w:val="center"/>
              <w:rPr>
                <w:szCs w:val="21"/>
                <w:lang w:val="fr-FR" w:eastAsia="zh-CN" w:bidi="ar-SA"/>
              </w:rPr>
            </w:pPr>
            <w:r>
              <w:rPr>
                <w:rFonts w:hint="eastAsia"/>
                <w:szCs w:val="21"/>
                <w:lang w:val="en-US" w:eastAsia="zh-CN"/>
              </w:rPr>
              <w:t>*</w:t>
            </w:r>
            <w:r>
              <w:rPr>
                <w:szCs w:val="21"/>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eastAsia="宋体"/>
                <w:szCs w:val="21"/>
                <w:lang w:val="en-US" w:eastAsia="zh-CN" w:bidi="ar-SA"/>
              </w:rPr>
            </w:pPr>
            <w:r>
              <w:rPr>
                <w:szCs w:val="21"/>
              </w:rPr>
              <w:t>URS0</w:t>
            </w:r>
            <w:r>
              <w:rPr>
                <w:rFonts w:hint="eastAsia"/>
                <w:szCs w:val="21"/>
                <w:lang w:val="en-US" w:eastAsia="zh-CN"/>
              </w:rPr>
              <w:t>13</w:t>
            </w:r>
          </w:p>
        </w:tc>
        <w:tc>
          <w:tcPr>
            <w:tcW w:w="7032" w:type="dxa"/>
            <w:tcBorders>
              <w:top w:val="single" w:color="auto" w:sz="6" w:space="0"/>
              <w:bottom w:val="single" w:color="auto" w:sz="6" w:space="0"/>
              <w:right w:val="single" w:color="auto" w:sz="4" w:space="0"/>
            </w:tcBorders>
            <w:noWrap w:val="0"/>
            <w:vAlign w:val="center"/>
          </w:tcPr>
          <w:p>
            <w:pPr>
              <w:pStyle w:val="5"/>
              <w:numPr>
                <w:ilvl w:val="0"/>
                <w:numId w:val="0"/>
              </w:numPr>
              <w:ind w:left="0" w:leftChars="0" w:firstLine="0" w:firstLineChars="0"/>
              <w:rPr>
                <w:rFonts w:hint="default" w:ascii="Times New Roman" w:hAnsi="Times New Roman" w:eastAsia="宋体" w:cs="Times New Roman"/>
                <w:i w:val="0"/>
                <w:sz w:val="20"/>
                <w:szCs w:val="21"/>
                <w:lang w:val="en-US" w:eastAsia="zh-CN" w:bidi="ar-SA"/>
              </w:rPr>
            </w:pPr>
            <w:r>
              <w:rPr>
                <w:rFonts w:hint="eastAsia" w:ascii="Times New Roman" w:hAnsi="Times New Roman" w:eastAsia="宋体" w:cs="Times New Roman"/>
                <w:i w:val="0"/>
                <w:sz w:val="20"/>
                <w:szCs w:val="21"/>
                <w:lang w:val="en-US" w:eastAsia="zh-CN" w:bidi="ar-SA"/>
              </w:rPr>
              <w:t>供货条件 ：密封，2-8℃保存，产品供应产品应在有效期  6-12月之内。</w:t>
            </w:r>
          </w:p>
        </w:tc>
        <w:tc>
          <w:tcPr>
            <w:tcW w:w="1421" w:type="dxa"/>
            <w:tcBorders>
              <w:right w:val="single" w:color="auto" w:sz="4" w:space="0"/>
            </w:tcBorders>
            <w:noWrap w:val="0"/>
            <w:vAlign w:val="center"/>
          </w:tcPr>
          <w:p>
            <w:pPr>
              <w:snapToGrid w:val="0"/>
              <w:jc w:val="center"/>
              <w:rPr>
                <w:rFonts w:hint="eastAsia"/>
                <w:szCs w:val="21"/>
                <w:lang w:val="en-US" w:eastAsia="zh-CN" w:bidi="ar-SA"/>
              </w:rPr>
            </w:pPr>
            <w:r>
              <w:rPr>
                <w:szCs w:val="21"/>
              </w:rPr>
              <w:t>必需</w:t>
            </w:r>
          </w:p>
        </w:tc>
      </w:tr>
    </w:tbl>
    <w:p>
      <w:pPr>
        <w:pStyle w:val="2"/>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245974"/>
    <w:rsid w:val="03310133"/>
    <w:rsid w:val="033A7147"/>
    <w:rsid w:val="034072F4"/>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19D1D5C"/>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85BBE"/>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17978</Words>
  <Characters>18963</Characters>
  <Lines>243</Lines>
  <Paragraphs>68</Paragraphs>
  <TotalTime>12</TotalTime>
  <ScaleCrop>false</ScaleCrop>
  <LinksUpToDate>false</LinksUpToDate>
  <CharactersWithSpaces>20668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2024-12-10T03:03:28Z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ies>
</file>